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02" w:rsidRPr="00EE0FF3" w:rsidRDefault="001C6202" w:rsidP="00EE0FF3">
      <w:pPr>
        <w:widowControl/>
        <w:jc w:val="center"/>
        <w:rPr>
          <w:rFonts w:ascii="Times New Roman" w:hAnsi="Times New Roman" w:cs="Times New Roman"/>
          <w:b/>
        </w:rPr>
      </w:pPr>
      <w:r w:rsidRPr="00EE0FF3">
        <w:rPr>
          <w:rFonts w:ascii="Times New Roman" w:hAnsi="Times New Roman" w:cs="Times New Roman"/>
          <w:b/>
        </w:rPr>
        <w:t xml:space="preserve">The Relevance and Admissibility of Rezoning and Comparable Sales Occurring After the Date of Taking, When Determining </w:t>
      </w:r>
      <w:r w:rsidR="00EE0FF3">
        <w:rPr>
          <w:rFonts w:ascii="Times New Roman" w:hAnsi="Times New Roman" w:cs="Times New Roman"/>
          <w:b/>
        </w:rPr>
        <w:t>the Value of Condemned Property</w:t>
      </w:r>
    </w:p>
    <w:p w:rsidR="00EE0FF3" w:rsidRDefault="00EE0FF3" w:rsidP="00EE0FF3">
      <w:pPr>
        <w:widowControl/>
        <w:jc w:val="center"/>
        <w:rPr>
          <w:rFonts w:ascii="Times New Roman" w:hAnsi="Times New Roman" w:cs="Times New Roman"/>
        </w:rPr>
      </w:pPr>
    </w:p>
    <w:p w:rsidR="001C6202" w:rsidRPr="00534155" w:rsidRDefault="00EE0FF3" w:rsidP="00EE0FF3">
      <w:pPr>
        <w:widowControl/>
        <w:jc w:val="center"/>
        <w:rPr>
          <w:rFonts w:ascii="Times New Roman" w:hAnsi="Times New Roman" w:cs="Times New Roman"/>
        </w:rPr>
      </w:pPr>
      <w:proofErr w:type="gramStart"/>
      <w:r>
        <w:rPr>
          <w:rFonts w:ascii="Times New Roman" w:hAnsi="Times New Roman" w:cs="Times New Roman"/>
        </w:rPr>
        <w:t>by</w:t>
      </w:r>
      <w:proofErr w:type="gramEnd"/>
      <w:r>
        <w:rPr>
          <w:rFonts w:ascii="Times New Roman" w:hAnsi="Times New Roman" w:cs="Times New Roman"/>
        </w:rPr>
        <w:t xml:space="preserve"> Alan T. Ackerman, and Darius W. Dynkowski</w:t>
      </w:r>
    </w:p>
    <w:p w:rsidR="001C6202" w:rsidRDefault="00EE0FF3" w:rsidP="005146CF">
      <w:pPr>
        <w:widowControl/>
        <w:jc w:val="center"/>
        <w:rPr>
          <w:rFonts w:ascii="Times New Roman" w:hAnsi="Times New Roman" w:cs="Times New Roman"/>
        </w:rPr>
      </w:pPr>
      <w:r>
        <w:rPr>
          <w:rFonts w:ascii="Times New Roman" w:hAnsi="Times New Roman" w:cs="Times New Roman"/>
        </w:rPr>
        <w:t>Ackerman, Ackerman &amp; Dynkowski,</w:t>
      </w:r>
      <w:r w:rsidR="001C6202" w:rsidRPr="00534155">
        <w:rPr>
          <w:rFonts w:ascii="Times New Roman" w:hAnsi="Times New Roman" w:cs="Times New Roman"/>
        </w:rPr>
        <w:t xml:space="preserve"> P.C.</w:t>
      </w:r>
    </w:p>
    <w:p w:rsidR="00EE0FF3" w:rsidRPr="00EE0FF3" w:rsidRDefault="00EE0FF3" w:rsidP="005146CF">
      <w:pPr>
        <w:widowControl/>
        <w:jc w:val="center"/>
        <w:rPr>
          <w:rFonts w:ascii="Times New Roman" w:hAnsi="Times New Roman" w:cs="Times New Roman"/>
          <w:i/>
        </w:rPr>
      </w:pPr>
      <w:r w:rsidRPr="00EE0FF3">
        <w:rPr>
          <w:rFonts w:ascii="Times New Roman" w:hAnsi="Times New Roman" w:cs="Times New Roman"/>
          <w:i/>
        </w:rPr>
        <w:t>www.nationaleminentdomain.com</w:t>
      </w:r>
    </w:p>
    <w:p w:rsidR="001C6202" w:rsidRPr="00534155" w:rsidRDefault="001C6202" w:rsidP="005146CF">
      <w:pPr>
        <w:widowControl/>
        <w:jc w:val="both"/>
        <w:rPr>
          <w:rFonts w:ascii="Times New Roman" w:hAnsi="Times New Roman" w:cs="Times New Roman"/>
        </w:rPr>
      </w:pPr>
    </w:p>
    <w:p w:rsidR="0008306A" w:rsidRDefault="00CB1D92" w:rsidP="00CB1D92">
      <w:pPr>
        <w:spacing w:line="480" w:lineRule="auto"/>
        <w:ind w:firstLine="720"/>
        <w:jc w:val="both"/>
        <w:rPr>
          <w:rFonts w:ascii="Times New Roman" w:hAnsi="Times New Roman" w:cs="Times New Roman"/>
        </w:rPr>
      </w:pPr>
      <w:r>
        <w:rPr>
          <w:rFonts w:ascii="Times New Roman" w:hAnsi="Times New Roman" w:cs="Times New Roman"/>
        </w:rPr>
        <w:t>The right to just compensation, when the government acquire</w:t>
      </w:r>
      <w:bookmarkStart w:id="0" w:name="_GoBack"/>
      <w:bookmarkEnd w:id="0"/>
      <w:r>
        <w:rPr>
          <w:rFonts w:ascii="Times New Roman" w:hAnsi="Times New Roman" w:cs="Times New Roman"/>
        </w:rPr>
        <w:t xml:space="preserve">s property through eminent domain, </w:t>
      </w:r>
      <w:r w:rsidR="00E74C12" w:rsidRPr="00534155">
        <w:rPr>
          <w:rFonts w:ascii="Times New Roman" w:hAnsi="Times New Roman" w:cs="Times New Roman"/>
        </w:rPr>
        <w:t>is enshrined in the Bill of Rights</w:t>
      </w:r>
      <w:r w:rsidR="00E74C12" w:rsidRPr="00534155">
        <w:rPr>
          <w:rStyle w:val="FootnoteReference"/>
          <w:rFonts w:ascii="Times New Roman" w:hAnsi="Times New Roman" w:cs="Times New Roman"/>
          <w:vertAlign w:val="superscript"/>
        </w:rPr>
        <w:footnoteReference w:id="1"/>
      </w:r>
      <w:r w:rsidR="00E74C12" w:rsidRPr="00534155">
        <w:rPr>
          <w:rFonts w:ascii="Times New Roman" w:hAnsi="Times New Roman" w:cs="Times New Roman"/>
        </w:rPr>
        <w:t xml:space="preserve"> and all state constitutions</w:t>
      </w:r>
      <w:r w:rsidR="00140102">
        <w:rPr>
          <w:rFonts w:ascii="Times New Roman" w:hAnsi="Times New Roman" w:cs="Times New Roman"/>
        </w:rPr>
        <w:t xml:space="preserve">. However, courts struggle to define how </w:t>
      </w:r>
      <w:r>
        <w:rPr>
          <w:rFonts w:ascii="Times New Roman" w:hAnsi="Times New Roman" w:cs="Times New Roman"/>
        </w:rPr>
        <w:t>what compensation is “just”.</w:t>
      </w:r>
      <w:r w:rsidR="00140102">
        <w:rPr>
          <w:rFonts w:ascii="Times New Roman" w:hAnsi="Times New Roman" w:cs="Times New Roman"/>
        </w:rPr>
        <w:t xml:space="preserve"> </w:t>
      </w:r>
      <w:r w:rsidR="00E74C12" w:rsidRPr="00534155">
        <w:rPr>
          <w:rFonts w:ascii="Times New Roman" w:hAnsi="Times New Roman" w:cs="Times New Roman"/>
        </w:rPr>
        <w:t xml:space="preserve">The valuation question involves a careful appraisal of the property—its location, structures, zoning, state and municipal regulations, and so forth. </w:t>
      </w:r>
      <w:r w:rsidR="0008306A">
        <w:rPr>
          <w:rFonts w:ascii="Times New Roman" w:hAnsi="Times New Roman" w:cs="Times New Roman"/>
        </w:rPr>
        <w:t>Further complicating</w:t>
      </w:r>
      <w:r>
        <w:rPr>
          <w:rFonts w:ascii="Times New Roman" w:hAnsi="Times New Roman" w:cs="Times New Roman"/>
        </w:rPr>
        <w:t xml:space="preserve"> this analysis is the fact</w:t>
      </w:r>
      <w:r w:rsidR="0008306A">
        <w:rPr>
          <w:rFonts w:ascii="Times New Roman" w:hAnsi="Times New Roman" w:cs="Times New Roman"/>
        </w:rPr>
        <w:t xml:space="preserve"> that property values can change sporadically in relatively brief periods. Plunges nationwide in real estate values in cities like Detroit and Las Vegas attest to this fact. </w:t>
      </w:r>
      <w:r w:rsidR="0008306A" w:rsidRPr="00534155">
        <w:rPr>
          <w:rFonts w:ascii="Times New Roman" w:hAnsi="Times New Roman" w:cs="Times New Roman"/>
        </w:rPr>
        <w:t xml:space="preserve">Thus, the question of </w:t>
      </w:r>
      <w:r w:rsidR="0008306A" w:rsidRPr="00534155">
        <w:rPr>
          <w:rFonts w:ascii="Times New Roman" w:hAnsi="Times New Roman" w:cs="Times New Roman"/>
          <w:i/>
        </w:rPr>
        <w:t xml:space="preserve">when </w:t>
      </w:r>
      <w:r w:rsidR="0008306A" w:rsidRPr="00534155">
        <w:rPr>
          <w:rFonts w:ascii="Times New Roman" w:hAnsi="Times New Roman" w:cs="Times New Roman"/>
        </w:rPr>
        <w:t>a taking occurs is</w:t>
      </w:r>
      <w:r w:rsidR="0008306A">
        <w:rPr>
          <w:rFonts w:ascii="Times New Roman" w:hAnsi="Times New Roman" w:cs="Times New Roman"/>
        </w:rPr>
        <w:t xml:space="preserve"> paramount. </w:t>
      </w:r>
      <w:r w:rsidR="0008306A" w:rsidRPr="00534155">
        <w:rPr>
          <w:rFonts w:ascii="Times New Roman" w:hAnsi="Times New Roman" w:cs="Times New Roman"/>
        </w:rPr>
        <w:t>The “general rule is that value is fixed at the time property is actually appropriated.”</w:t>
      </w:r>
      <w:r w:rsidR="0008306A" w:rsidRPr="0008306A">
        <w:rPr>
          <w:rStyle w:val="FootnoteReference"/>
          <w:rFonts w:ascii="Times New Roman" w:hAnsi="Times New Roman" w:cs="Times New Roman"/>
          <w:vertAlign w:val="superscript"/>
        </w:rPr>
        <w:footnoteReference w:id="2"/>
      </w:r>
      <w:r w:rsidR="0008306A">
        <w:rPr>
          <w:rFonts w:ascii="Times New Roman" w:hAnsi="Times New Roman" w:cs="Times New Roman"/>
        </w:rPr>
        <w:t xml:space="preserve"> This seems like a simple determination, and un</w:t>
      </w:r>
      <w:r>
        <w:rPr>
          <w:rFonts w:ascii="Times New Roman" w:hAnsi="Times New Roman" w:cs="Times New Roman"/>
        </w:rPr>
        <w:t>der</w:t>
      </w:r>
      <w:r w:rsidR="0008306A" w:rsidRPr="00534155">
        <w:rPr>
          <w:rFonts w:ascii="Times New Roman" w:hAnsi="Times New Roman" w:cs="Times New Roman"/>
        </w:rPr>
        <w:t xml:space="preserve"> “slow take” procedures</w:t>
      </w:r>
      <w:r w:rsidR="0008306A">
        <w:rPr>
          <w:rFonts w:ascii="Times New Roman" w:hAnsi="Times New Roman" w:cs="Times New Roman"/>
        </w:rPr>
        <w:t xml:space="preserve">, </w:t>
      </w:r>
      <w:r w:rsidR="0008306A" w:rsidRPr="00534155">
        <w:rPr>
          <w:rFonts w:ascii="Times New Roman" w:hAnsi="Times New Roman" w:cs="Times New Roman"/>
        </w:rPr>
        <w:t xml:space="preserve">where appropriation and compensation occur at the same time, it is. </w:t>
      </w:r>
      <w:r w:rsidR="0008306A">
        <w:rPr>
          <w:rFonts w:ascii="Times New Roman" w:hAnsi="Times New Roman" w:cs="Times New Roman"/>
        </w:rPr>
        <w:t xml:space="preserve">However, many states now use a </w:t>
      </w:r>
      <w:r w:rsidR="0008306A" w:rsidRPr="00534155">
        <w:rPr>
          <w:rFonts w:ascii="Times New Roman" w:hAnsi="Times New Roman" w:cs="Times New Roman"/>
        </w:rPr>
        <w:t xml:space="preserve">“quick take” procedure, in which the government </w:t>
      </w:r>
      <w:r>
        <w:rPr>
          <w:rFonts w:ascii="Times New Roman" w:hAnsi="Times New Roman" w:cs="Times New Roman"/>
        </w:rPr>
        <w:t>takes title to</w:t>
      </w:r>
      <w:r w:rsidR="0008306A" w:rsidRPr="00534155">
        <w:rPr>
          <w:rFonts w:ascii="Times New Roman" w:hAnsi="Times New Roman" w:cs="Times New Roman"/>
        </w:rPr>
        <w:t xml:space="preserve"> property </w:t>
      </w:r>
      <w:r w:rsidR="0008306A" w:rsidRPr="00534155">
        <w:rPr>
          <w:rFonts w:ascii="Times New Roman" w:hAnsi="Times New Roman" w:cs="Times New Roman"/>
          <w:i/>
        </w:rPr>
        <w:t xml:space="preserve">before </w:t>
      </w:r>
      <w:r w:rsidRPr="00CB1D92">
        <w:rPr>
          <w:rFonts w:ascii="Times New Roman" w:hAnsi="Times New Roman" w:cs="Times New Roman"/>
        </w:rPr>
        <w:t xml:space="preserve">initiating </w:t>
      </w:r>
      <w:r w:rsidR="0008306A" w:rsidRPr="00534155">
        <w:rPr>
          <w:rFonts w:ascii="Times New Roman" w:hAnsi="Times New Roman" w:cs="Times New Roman"/>
        </w:rPr>
        <w:t>condemnation proceedings.</w:t>
      </w:r>
      <w:r w:rsidR="0008306A">
        <w:rPr>
          <w:rFonts w:ascii="Times New Roman" w:hAnsi="Times New Roman" w:cs="Times New Roman"/>
        </w:rPr>
        <w:t xml:space="preserve"> </w:t>
      </w:r>
      <w:r>
        <w:rPr>
          <w:rFonts w:ascii="Times New Roman" w:hAnsi="Times New Roman" w:cs="Times New Roman"/>
        </w:rPr>
        <w:t xml:space="preserve">The gap between acquisition of property and when the owner actually receives compensation can be months, even years. </w:t>
      </w:r>
      <w:r w:rsidR="0008306A">
        <w:rPr>
          <w:rFonts w:ascii="Times New Roman" w:hAnsi="Times New Roman" w:cs="Times New Roman"/>
        </w:rPr>
        <w:t xml:space="preserve">In this interim period, </w:t>
      </w:r>
      <w:r>
        <w:rPr>
          <w:rFonts w:ascii="Times New Roman" w:hAnsi="Times New Roman" w:cs="Times New Roman"/>
        </w:rPr>
        <w:t>many events</w:t>
      </w:r>
      <w:r w:rsidR="0008306A">
        <w:rPr>
          <w:rFonts w:ascii="Times New Roman" w:hAnsi="Times New Roman" w:cs="Times New Roman"/>
        </w:rPr>
        <w:t xml:space="preserve"> ca</w:t>
      </w:r>
      <w:r>
        <w:rPr>
          <w:rFonts w:ascii="Times New Roman" w:hAnsi="Times New Roman" w:cs="Times New Roman"/>
        </w:rPr>
        <w:t xml:space="preserve">n affect value of the property, especially changes in the real estate market and rezoning of the property. </w:t>
      </w:r>
    </w:p>
    <w:p w:rsidR="0008306A" w:rsidRPr="00534155" w:rsidRDefault="0008306A" w:rsidP="0008306A">
      <w:pPr>
        <w:spacing w:line="480" w:lineRule="auto"/>
        <w:ind w:firstLine="720"/>
        <w:jc w:val="both"/>
        <w:rPr>
          <w:rFonts w:ascii="Times New Roman" w:hAnsi="Times New Roman" w:cs="Times New Roman"/>
        </w:rPr>
      </w:pPr>
      <w:r>
        <w:rPr>
          <w:rFonts w:ascii="Times New Roman" w:hAnsi="Times New Roman" w:cs="Times New Roman"/>
        </w:rPr>
        <w:t>C</w:t>
      </w:r>
      <w:r w:rsidR="00E74C12" w:rsidRPr="00534155">
        <w:rPr>
          <w:rFonts w:ascii="Times New Roman" w:hAnsi="Times New Roman" w:cs="Times New Roman"/>
        </w:rPr>
        <w:t xml:space="preserve">ourts have struggled to determine </w:t>
      </w:r>
      <w:r>
        <w:rPr>
          <w:rFonts w:ascii="Times New Roman" w:hAnsi="Times New Roman" w:cs="Times New Roman"/>
        </w:rPr>
        <w:t>what kind of post-appropriation/</w:t>
      </w:r>
      <w:r w:rsidR="00E74C12" w:rsidRPr="00534155">
        <w:rPr>
          <w:rFonts w:ascii="Times New Roman" w:hAnsi="Times New Roman" w:cs="Times New Roman"/>
        </w:rPr>
        <w:t xml:space="preserve">pre-compensation evidence </w:t>
      </w:r>
      <w:r>
        <w:rPr>
          <w:rFonts w:ascii="Times New Roman" w:hAnsi="Times New Roman" w:cs="Times New Roman"/>
        </w:rPr>
        <w:t>to admit</w:t>
      </w:r>
      <w:r w:rsidR="00E74C12" w:rsidRPr="00534155">
        <w:rPr>
          <w:rFonts w:ascii="Times New Roman" w:hAnsi="Times New Roman" w:cs="Times New Roman"/>
        </w:rPr>
        <w:t xml:space="preserve">. Two questions stand out in particular: (1) can </w:t>
      </w:r>
      <w:r>
        <w:rPr>
          <w:rFonts w:ascii="Times New Roman" w:hAnsi="Times New Roman" w:cs="Times New Roman"/>
        </w:rPr>
        <w:t>the jury</w:t>
      </w:r>
      <w:r w:rsidR="00E74C12" w:rsidRPr="00534155">
        <w:rPr>
          <w:rFonts w:ascii="Times New Roman" w:hAnsi="Times New Roman" w:cs="Times New Roman"/>
        </w:rPr>
        <w:t xml:space="preserve"> consider </w:t>
      </w:r>
      <w:r>
        <w:rPr>
          <w:rFonts w:ascii="Times New Roman" w:hAnsi="Times New Roman" w:cs="Times New Roman"/>
        </w:rPr>
        <w:t xml:space="preserve">appraisal reports that contain comparable </w:t>
      </w:r>
      <w:r w:rsidR="00E74C12" w:rsidRPr="00534155">
        <w:rPr>
          <w:rFonts w:ascii="Times New Roman" w:hAnsi="Times New Roman" w:cs="Times New Roman"/>
        </w:rPr>
        <w:t xml:space="preserve">sales of property that occurred </w:t>
      </w:r>
      <w:r w:rsidR="00E74C12" w:rsidRPr="00534155">
        <w:rPr>
          <w:rFonts w:ascii="Times New Roman" w:hAnsi="Times New Roman" w:cs="Times New Roman"/>
          <w:i/>
        </w:rPr>
        <w:t xml:space="preserve">after </w:t>
      </w:r>
      <w:r>
        <w:rPr>
          <w:rFonts w:ascii="Times New Roman" w:hAnsi="Times New Roman" w:cs="Times New Roman"/>
        </w:rPr>
        <w:t xml:space="preserve">the date of taking; </w:t>
      </w:r>
      <w:r w:rsidR="00E74C12" w:rsidRPr="00534155">
        <w:rPr>
          <w:rFonts w:ascii="Times New Roman" w:hAnsi="Times New Roman" w:cs="Times New Roman"/>
        </w:rPr>
        <w:t xml:space="preserve">and (2) can the jury consider evidence that the property was </w:t>
      </w:r>
      <w:r w:rsidR="00294955">
        <w:rPr>
          <w:rFonts w:ascii="Times New Roman" w:hAnsi="Times New Roman" w:cs="Times New Roman"/>
        </w:rPr>
        <w:t>actually</w:t>
      </w:r>
      <w:r>
        <w:rPr>
          <w:rFonts w:ascii="Times New Roman" w:hAnsi="Times New Roman" w:cs="Times New Roman"/>
        </w:rPr>
        <w:t xml:space="preserve"> </w:t>
      </w:r>
      <w:r w:rsidR="00E74C12" w:rsidRPr="00534155">
        <w:rPr>
          <w:rFonts w:ascii="Times New Roman" w:hAnsi="Times New Roman" w:cs="Times New Roman"/>
        </w:rPr>
        <w:t xml:space="preserve">rezoned </w:t>
      </w:r>
      <w:r w:rsidR="00E74C12" w:rsidRPr="00534155">
        <w:rPr>
          <w:rFonts w:ascii="Times New Roman" w:hAnsi="Times New Roman" w:cs="Times New Roman"/>
          <w:i/>
        </w:rPr>
        <w:t xml:space="preserve">after </w:t>
      </w:r>
      <w:r w:rsidR="00E74C12" w:rsidRPr="00534155">
        <w:rPr>
          <w:rFonts w:ascii="Times New Roman" w:hAnsi="Times New Roman" w:cs="Times New Roman"/>
        </w:rPr>
        <w:t xml:space="preserve">the date of </w:t>
      </w:r>
      <w:r>
        <w:rPr>
          <w:rFonts w:ascii="Times New Roman" w:hAnsi="Times New Roman" w:cs="Times New Roman"/>
        </w:rPr>
        <w:t xml:space="preserve">taking, as evidence that </w:t>
      </w:r>
      <w:r>
        <w:rPr>
          <w:rFonts w:ascii="Times New Roman" w:hAnsi="Times New Roman" w:cs="Times New Roman"/>
        </w:rPr>
        <w:lastRenderedPageBreak/>
        <w:t xml:space="preserve">the property was likely to be rezoned at the date of taking? The latter point is relevant because often, the potential for rezoning is a key factor for prospective purchasers and sellers. </w:t>
      </w:r>
    </w:p>
    <w:p w:rsidR="00E74C12" w:rsidRPr="00534155" w:rsidRDefault="00E74C12" w:rsidP="00E74C12">
      <w:pPr>
        <w:spacing w:line="480" w:lineRule="auto"/>
        <w:jc w:val="both"/>
        <w:rPr>
          <w:rFonts w:ascii="Times New Roman" w:hAnsi="Times New Roman" w:cs="Times New Roman"/>
        </w:rPr>
      </w:pPr>
      <w:r w:rsidRPr="00534155">
        <w:rPr>
          <w:rFonts w:ascii="Times New Roman" w:hAnsi="Times New Roman" w:cs="Times New Roman"/>
        </w:rPr>
        <w:tab/>
        <w:t>There is no clear consensus on these two questions. Some courts answer one in the positive and the other in the negative. This paper presents a survey of federal and state court de</w:t>
      </w:r>
      <w:r w:rsidR="00A87D33">
        <w:rPr>
          <w:rFonts w:ascii="Times New Roman" w:hAnsi="Times New Roman" w:cs="Times New Roman"/>
        </w:rPr>
        <w:t>cisions on these two questions, hoping to offer</w:t>
      </w:r>
      <w:r w:rsidRPr="00534155">
        <w:rPr>
          <w:rFonts w:ascii="Times New Roman" w:hAnsi="Times New Roman" w:cs="Times New Roman"/>
        </w:rPr>
        <w:t xml:space="preserve"> some guidance to practitioners. Section I </w:t>
      </w:r>
      <w:r w:rsidR="00CB1D92">
        <w:rPr>
          <w:rFonts w:ascii="Times New Roman" w:hAnsi="Times New Roman" w:cs="Times New Roman"/>
        </w:rPr>
        <w:t>discusses</w:t>
      </w:r>
      <w:r w:rsidRPr="00534155">
        <w:rPr>
          <w:rFonts w:ascii="Times New Roman" w:hAnsi="Times New Roman" w:cs="Times New Roman"/>
        </w:rPr>
        <w:t xml:space="preserve"> some general impressions on retrospective </w:t>
      </w:r>
      <w:r w:rsidR="00A87D33">
        <w:rPr>
          <w:rFonts w:ascii="Times New Roman" w:hAnsi="Times New Roman" w:cs="Times New Roman"/>
        </w:rPr>
        <w:t>appraisals. Section II examines the</w:t>
      </w:r>
      <w:r w:rsidRPr="00534155">
        <w:rPr>
          <w:rFonts w:ascii="Times New Roman" w:hAnsi="Times New Roman" w:cs="Times New Roman"/>
        </w:rPr>
        <w:t xml:space="preserve"> first question</w:t>
      </w:r>
      <w:r w:rsidR="00A87D33">
        <w:rPr>
          <w:rFonts w:ascii="Times New Roman" w:hAnsi="Times New Roman" w:cs="Times New Roman"/>
        </w:rPr>
        <w:t xml:space="preserve">, </w:t>
      </w:r>
      <w:r w:rsidRPr="00534155">
        <w:rPr>
          <w:rFonts w:ascii="Times New Roman" w:hAnsi="Times New Roman" w:cs="Times New Roman"/>
        </w:rPr>
        <w:t xml:space="preserve">the admissibility of comparable sales that occur </w:t>
      </w:r>
      <w:r w:rsidRPr="00534155">
        <w:rPr>
          <w:rFonts w:ascii="Times New Roman" w:hAnsi="Times New Roman" w:cs="Times New Roman"/>
          <w:i/>
        </w:rPr>
        <w:t xml:space="preserve">after </w:t>
      </w:r>
      <w:r w:rsidRPr="00534155">
        <w:rPr>
          <w:rFonts w:ascii="Times New Roman" w:hAnsi="Times New Roman" w:cs="Times New Roman"/>
        </w:rPr>
        <w:t xml:space="preserve">a taking. Section III </w:t>
      </w:r>
      <w:r w:rsidR="00CB1D92">
        <w:rPr>
          <w:rFonts w:ascii="Times New Roman" w:hAnsi="Times New Roman" w:cs="Times New Roman"/>
        </w:rPr>
        <w:t>surveys</w:t>
      </w:r>
      <w:r w:rsidRPr="00534155">
        <w:rPr>
          <w:rFonts w:ascii="Times New Roman" w:hAnsi="Times New Roman" w:cs="Times New Roman"/>
        </w:rPr>
        <w:t xml:space="preserve"> the admissibility of rezoning that occurs </w:t>
      </w:r>
      <w:r w:rsidRPr="00534155">
        <w:rPr>
          <w:rFonts w:ascii="Times New Roman" w:hAnsi="Times New Roman" w:cs="Times New Roman"/>
          <w:i/>
        </w:rPr>
        <w:t xml:space="preserve">after </w:t>
      </w:r>
      <w:r w:rsidRPr="00534155">
        <w:rPr>
          <w:rFonts w:ascii="Times New Roman" w:hAnsi="Times New Roman" w:cs="Times New Roman"/>
        </w:rPr>
        <w:t xml:space="preserve">the taking. </w:t>
      </w:r>
      <w:r w:rsidR="00CB1D92">
        <w:rPr>
          <w:rFonts w:ascii="Times New Roman" w:hAnsi="Times New Roman" w:cs="Times New Roman"/>
        </w:rPr>
        <w:t xml:space="preserve">Finally, Section IV examines some analogous situations in which courts admit retrospective evidence, such as liquidated damages.  </w:t>
      </w:r>
    </w:p>
    <w:p w:rsidR="00E74C12" w:rsidRPr="005361AD" w:rsidRDefault="005361AD" w:rsidP="005361AD">
      <w:pPr>
        <w:spacing w:line="480" w:lineRule="auto"/>
        <w:jc w:val="both"/>
        <w:rPr>
          <w:rFonts w:ascii="Times New Roman" w:hAnsi="Times New Roman" w:cs="Times New Roman"/>
          <w:b/>
          <w:u w:val="single"/>
        </w:rPr>
      </w:pPr>
      <w:r>
        <w:rPr>
          <w:rFonts w:ascii="Times New Roman" w:hAnsi="Times New Roman" w:cs="Times New Roman"/>
          <w:b/>
        </w:rPr>
        <w:t>I.</w:t>
      </w:r>
      <w:r>
        <w:rPr>
          <w:rFonts w:ascii="Times New Roman" w:hAnsi="Times New Roman" w:cs="Times New Roman"/>
          <w:b/>
        </w:rPr>
        <w:tab/>
      </w:r>
      <w:r w:rsidR="00E74C12" w:rsidRPr="005361AD">
        <w:rPr>
          <w:rFonts w:ascii="Times New Roman" w:hAnsi="Times New Roman" w:cs="Times New Roman"/>
          <w:b/>
        </w:rPr>
        <w:t>General Impressions: USPAP</w:t>
      </w:r>
      <w:r w:rsidR="001D343A" w:rsidRPr="005361AD">
        <w:rPr>
          <w:rFonts w:ascii="Times New Roman" w:hAnsi="Times New Roman" w:cs="Times New Roman"/>
          <w:b/>
        </w:rPr>
        <w:t>,</w:t>
      </w:r>
      <w:r w:rsidR="00E74C12" w:rsidRPr="005361AD">
        <w:rPr>
          <w:rFonts w:ascii="Times New Roman" w:hAnsi="Times New Roman" w:cs="Times New Roman"/>
          <w:b/>
        </w:rPr>
        <w:t xml:space="preserve"> Nichols</w:t>
      </w:r>
      <w:r w:rsidR="001D343A" w:rsidRPr="005361AD">
        <w:rPr>
          <w:rFonts w:ascii="Times New Roman" w:hAnsi="Times New Roman" w:cs="Times New Roman"/>
          <w:b/>
        </w:rPr>
        <w:t>, and the Supreme Court</w:t>
      </w:r>
    </w:p>
    <w:p w:rsidR="00E74C12" w:rsidRDefault="00A911BF" w:rsidP="001D343A">
      <w:pPr>
        <w:spacing w:line="480" w:lineRule="auto"/>
        <w:ind w:firstLine="720"/>
        <w:jc w:val="both"/>
        <w:rPr>
          <w:rFonts w:ascii="Times New Roman" w:hAnsi="Times New Roman" w:cs="Times New Roman"/>
        </w:rPr>
      </w:pPr>
      <w:r>
        <w:rPr>
          <w:rFonts w:ascii="Times New Roman" w:hAnsi="Times New Roman" w:cs="Times New Roman"/>
        </w:rPr>
        <w:t>The</w:t>
      </w:r>
      <w:r w:rsidR="0027306F">
        <w:rPr>
          <w:rFonts w:ascii="Times New Roman" w:hAnsi="Times New Roman" w:cs="Times New Roman"/>
        </w:rPr>
        <w:t xml:space="preserve"> Supreme Court’s decisions are the starting point for any constitutional issue. </w:t>
      </w:r>
      <w:r>
        <w:rPr>
          <w:rFonts w:ascii="Times New Roman" w:hAnsi="Times New Roman" w:cs="Times New Roman"/>
        </w:rPr>
        <w:t>Further,</w:t>
      </w:r>
      <w:r w:rsidR="0027306F">
        <w:rPr>
          <w:rFonts w:ascii="Times New Roman" w:hAnsi="Times New Roman" w:cs="Times New Roman"/>
        </w:rPr>
        <w:t xml:space="preserve"> t</w:t>
      </w:r>
      <w:r w:rsidR="00E74C12" w:rsidRPr="00534155">
        <w:rPr>
          <w:rFonts w:ascii="Times New Roman" w:hAnsi="Times New Roman" w:cs="Times New Roman"/>
        </w:rPr>
        <w:t>wo very highly regarded sources, the Uniform Standar</w:t>
      </w:r>
      <w:r w:rsidR="0027306F">
        <w:rPr>
          <w:rFonts w:ascii="Times New Roman" w:hAnsi="Times New Roman" w:cs="Times New Roman"/>
        </w:rPr>
        <w:t>ds of Appraisal Practice (USPAP)</w:t>
      </w:r>
      <w:r w:rsidR="00E74C12" w:rsidRPr="0027306F">
        <w:rPr>
          <w:rStyle w:val="FootnoteReference"/>
          <w:rFonts w:ascii="Times New Roman" w:hAnsi="Times New Roman" w:cs="Times New Roman"/>
          <w:vertAlign w:val="superscript"/>
        </w:rPr>
        <w:footnoteReference w:id="3"/>
      </w:r>
      <w:r w:rsidR="00E74C12" w:rsidRPr="0027306F">
        <w:rPr>
          <w:rFonts w:ascii="Times New Roman" w:hAnsi="Times New Roman" w:cs="Times New Roman"/>
          <w:vertAlign w:val="superscript"/>
        </w:rPr>
        <w:t xml:space="preserve"> </w:t>
      </w:r>
      <w:r w:rsidR="00E74C12" w:rsidRPr="00534155">
        <w:rPr>
          <w:rFonts w:ascii="Times New Roman" w:hAnsi="Times New Roman" w:cs="Times New Roman"/>
        </w:rPr>
        <w:t>and Nichols on Eminent Domain</w:t>
      </w:r>
      <w:r w:rsidR="00E74C12" w:rsidRPr="0027306F">
        <w:rPr>
          <w:rStyle w:val="FootnoteReference"/>
          <w:rFonts w:ascii="Times New Roman" w:hAnsi="Times New Roman" w:cs="Times New Roman"/>
          <w:vertAlign w:val="superscript"/>
        </w:rPr>
        <w:footnoteReference w:id="4"/>
      </w:r>
      <w:r w:rsidR="00E74C12" w:rsidRPr="00534155">
        <w:rPr>
          <w:rFonts w:ascii="Times New Roman" w:hAnsi="Times New Roman" w:cs="Times New Roman"/>
        </w:rPr>
        <w:t xml:space="preserve">, both acknowledge that post-taking evidence </w:t>
      </w:r>
      <w:r w:rsidR="00E74C12" w:rsidRPr="00534155">
        <w:rPr>
          <w:rFonts w:ascii="Times New Roman" w:hAnsi="Times New Roman" w:cs="Times New Roman"/>
          <w:i/>
        </w:rPr>
        <w:t xml:space="preserve">can be </w:t>
      </w:r>
      <w:r w:rsidR="00E74C12" w:rsidRPr="00534155">
        <w:rPr>
          <w:rFonts w:ascii="Times New Roman" w:hAnsi="Times New Roman" w:cs="Times New Roman"/>
        </w:rPr>
        <w:t xml:space="preserve">relevant and admissible in determining property value. However, both sources caution that such evidence must be confined within proper limits. </w:t>
      </w:r>
      <w:r>
        <w:rPr>
          <w:rFonts w:ascii="Times New Roman" w:hAnsi="Times New Roman" w:cs="Times New Roman"/>
        </w:rPr>
        <w:t xml:space="preserve">These sources are discussed below. </w:t>
      </w:r>
    </w:p>
    <w:p w:rsidR="00107E4E" w:rsidRPr="005361AD" w:rsidRDefault="005361AD" w:rsidP="005361AD">
      <w:pPr>
        <w:spacing w:line="480" w:lineRule="auto"/>
        <w:ind w:firstLine="720"/>
        <w:jc w:val="both"/>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107E4E" w:rsidRPr="005361AD">
        <w:rPr>
          <w:rFonts w:ascii="Times New Roman" w:hAnsi="Times New Roman" w:cs="Times New Roman"/>
          <w:b/>
        </w:rPr>
        <w:t>The Constitutional Standard – Highest and Best Use</w:t>
      </w:r>
    </w:p>
    <w:p w:rsidR="00107E4E" w:rsidRDefault="00107E4E" w:rsidP="005A6717">
      <w:pPr>
        <w:spacing w:line="480" w:lineRule="auto"/>
        <w:ind w:firstLine="720"/>
        <w:jc w:val="both"/>
        <w:rPr>
          <w:rFonts w:ascii="Times New Roman" w:hAnsi="Times New Roman" w:cs="Times New Roman"/>
        </w:rPr>
      </w:pPr>
      <w:r>
        <w:rPr>
          <w:rFonts w:ascii="Times New Roman" w:hAnsi="Times New Roman" w:cs="Times New Roman"/>
        </w:rPr>
        <w:t xml:space="preserve">No discussion of valuation in eminent domain is complete without a review of constitutional principles. </w:t>
      </w:r>
      <w:r w:rsidR="00A911BF">
        <w:rPr>
          <w:rFonts w:ascii="Times New Roman" w:hAnsi="Times New Roman" w:cs="Times New Roman"/>
        </w:rPr>
        <w:t xml:space="preserve">Unfortunately, Supreme Court precedent has been very open-ended on the issue of retrospective appraisals. </w:t>
      </w:r>
      <w:r w:rsidR="00A911BF" w:rsidRPr="001D343A">
        <w:rPr>
          <w:rFonts w:ascii="Times New Roman" w:hAnsi="Times New Roman" w:cs="Times New Roman"/>
        </w:rPr>
        <w:t xml:space="preserve">The </w:t>
      </w:r>
      <w:r w:rsidRPr="001D343A">
        <w:rPr>
          <w:rFonts w:ascii="Times New Roman" w:hAnsi="Times New Roman" w:cs="Times New Roman"/>
        </w:rPr>
        <w:t xml:space="preserve">Fifth Amendment </w:t>
      </w:r>
      <w:r>
        <w:rPr>
          <w:rFonts w:ascii="Times New Roman" w:hAnsi="Times New Roman" w:cs="Times New Roman"/>
        </w:rPr>
        <w:t xml:space="preserve">to the U.S. Constitution </w:t>
      </w:r>
      <w:r w:rsidRPr="001D343A">
        <w:rPr>
          <w:rFonts w:ascii="Times New Roman" w:hAnsi="Times New Roman" w:cs="Times New Roman"/>
        </w:rPr>
        <w:t>reads</w:t>
      </w:r>
      <w:r>
        <w:rPr>
          <w:rFonts w:ascii="Times New Roman" w:hAnsi="Times New Roman" w:cs="Times New Roman"/>
        </w:rPr>
        <w:t>,</w:t>
      </w:r>
      <w:r w:rsidRPr="001D343A">
        <w:rPr>
          <w:rFonts w:ascii="Times New Roman" w:hAnsi="Times New Roman" w:cs="Times New Roman"/>
        </w:rPr>
        <w:t xml:space="preserve"> “nor shall private property be taken for public use, without just compensation.”</w:t>
      </w:r>
      <w:r w:rsidRPr="001D343A">
        <w:rPr>
          <w:rStyle w:val="FootnoteReference"/>
          <w:rFonts w:ascii="Times New Roman" w:hAnsi="Times New Roman" w:cs="Times New Roman"/>
          <w:vertAlign w:val="superscript"/>
        </w:rPr>
        <w:footnoteReference w:id="5"/>
      </w:r>
      <w:r w:rsidRPr="001D343A">
        <w:rPr>
          <w:rFonts w:ascii="Times New Roman" w:hAnsi="Times New Roman" w:cs="Times New Roman"/>
        </w:rPr>
        <w:t xml:space="preserve"> Just compensation must be sufficient for the owner to be “put in as good a position pecuniarily as if hi</w:t>
      </w:r>
      <w:r>
        <w:rPr>
          <w:rFonts w:ascii="Times New Roman" w:hAnsi="Times New Roman" w:cs="Times New Roman"/>
        </w:rPr>
        <w:t xml:space="preserve">s property had </w:t>
      </w:r>
      <w:r>
        <w:rPr>
          <w:rFonts w:ascii="Times New Roman" w:hAnsi="Times New Roman" w:cs="Times New Roman"/>
        </w:rPr>
        <w:lastRenderedPageBreak/>
        <w:t xml:space="preserve">not been taken. </w:t>
      </w:r>
      <w:r w:rsidRPr="001D343A">
        <w:rPr>
          <w:rFonts w:ascii="Times New Roman" w:hAnsi="Times New Roman" w:cs="Times New Roman"/>
        </w:rPr>
        <w:t>He must be made whole but is not entitled to more.”</w:t>
      </w:r>
      <w:r w:rsidRPr="001D343A">
        <w:rPr>
          <w:rStyle w:val="FootnoteReference"/>
          <w:rFonts w:ascii="Times New Roman" w:hAnsi="Times New Roman" w:cs="Times New Roman"/>
          <w:vertAlign w:val="superscript"/>
        </w:rPr>
        <w:footnoteReference w:id="6"/>
      </w:r>
      <w:r w:rsidRPr="001D343A">
        <w:rPr>
          <w:rFonts w:ascii="Times New Roman" w:hAnsi="Times New Roman" w:cs="Times New Roman"/>
        </w:rPr>
        <w:t xml:space="preserve"> </w:t>
      </w:r>
      <w:r w:rsidR="005A6717">
        <w:rPr>
          <w:rFonts w:ascii="Times New Roman" w:hAnsi="Times New Roman" w:cs="Times New Roman"/>
        </w:rPr>
        <w:t xml:space="preserve">One way to make an owner whole is to pay “market value”, which is </w:t>
      </w:r>
      <w:r w:rsidRPr="001D343A">
        <w:rPr>
          <w:rFonts w:ascii="Times New Roman" w:hAnsi="Times New Roman" w:cs="Times New Roman"/>
        </w:rPr>
        <w:t>“what a willing buyer would pay in cash to a willing seller.”</w:t>
      </w:r>
      <w:r w:rsidRPr="001D343A">
        <w:rPr>
          <w:rStyle w:val="FootnoteReference"/>
          <w:rFonts w:ascii="Times New Roman" w:hAnsi="Times New Roman" w:cs="Times New Roman"/>
          <w:vertAlign w:val="superscript"/>
        </w:rPr>
        <w:footnoteReference w:id="7"/>
      </w:r>
      <w:r w:rsidRPr="001D343A">
        <w:rPr>
          <w:rFonts w:ascii="Times New Roman" w:hAnsi="Times New Roman" w:cs="Times New Roman"/>
          <w:vertAlign w:val="superscript"/>
        </w:rPr>
        <w:t xml:space="preserve"> </w:t>
      </w:r>
      <w:r w:rsidRPr="001D343A">
        <w:rPr>
          <w:rFonts w:ascii="Times New Roman" w:hAnsi="Times New Roman" w:cs="Times New Roman"/>
        </w:rPr>
        <w:t>Because a hypothetical reasonable buyer looks</w:t>
      </w:r>
      <w:r w:rsidR="005A6717">
        <w:rPr>
          <w:rFonts w:ascii="Times New Roman" w:hAnsi="Times New Roman" w:cs="Times New Roman"/>
        </w:rPr>
        <w:t xml:space="preserve"> to future value and uses, the </w:t>
      </w:r>
      <w:r w:rsidRPr="001D343A">
        <w:rPr>
          <w:rFonts w:ascii="Times New Roman" w:hAnsi="Times New Roman" w:cs="Times New Roman"/>
        </w:rPr>
        <w:t>“highest and most profitable use for which the property is adaptable and needed or likely to be needed in the reasonably near future to the full extent that the prospect of demand for such use affects the market value while the property is privately held.”</w:t>
      </w:r>
      <w:r w:rsidRPr="001D343A">
        <w:rPr>
          <w:rStyle w:val="FootnoteReference"/>
          <w:rFonts w:ascii="Times New Roman" w:hAnsi="Times New Roman" w:cs="Times New Roman"/>
          <w:vertAlign w:val="superscript"/>
        </w:rPr>
        <w:footnoteReference w:id="8"/>
      </w:r>
    </w:p>
    <w:p w:rsidR="00B97662" w:rsidRPr="00A911BF" w:rsidRDefault="00A911BF" w:rsidP="00A911BF">
      <w:pPr>
        <w:spacing w:line="480" w:lineRule="auto"/>
        <w:ind w:firstLine="720"/>
        <w:jc w:val="both"/>
        <w:rPr>
          <w:rFonts w:ascii="Times New Roman" w:hAnsi="Times New Roman" w:cs="Times New Roman"/>
        </w:rPr>
      </w:pPr>
      <w:r>
        <w:rPr>
          <w:rFonts w:ascii="Times New Roman" w:hAnsi="Times New Roman" w:cs="Times New Roman"/>
        </w:rPr>
        <w:t>Hence, while</w:t>
      </w:r>
      <w:r w:rsidR="005A6717">
        <w:rPr>
          <w:rFonts w:ascii="Times New Roman" w:hAnsi="Times New Roman" w:cs="Times New Roman"/>
        </w:rPr>
        <w:t xml:space="preserve"> </w:t>
      </w:r>
      <w:r>
        <w:rPr>
          <w:rFonts w:ascii="Times New Roman" w:hAnsi="Times New Roman" w:cs="Times New Roman"/>
        </w:rPr>
        <w:t xml:space="preserve">courts generally determine market value as of </w:t>
      </w:r>
      <w:r w:rsidR="005A6717">
        <w:rPr>
          <w:rFonts w:ascii="Times New Roman" w:hAnsi="Times New Roman" w:cs="Times New Roman"/>
        </w:rPr>
        <w:t xml:space="preserve">the </w:t>
      </w:r>
      <w:r>
        <w:rPr>
          <w:rFonts w:ascii="Times New Roman" w:hAnsi="Times New Roman" w:cs="Times New Roman"/>
        </w:rPr>
        <w:t xml:space="preserve">date of taking, the highest and best use standard means </w:t>
      </w:r>
      <w:r w:rsidR="00107E4E">
        <w:rPr>
          <w:rFonts w:ascii="Times New Roman" w:hAnsi="Times New Roman" w:cs="Times New Roman"/>
        </w:rPr>
        <w:t xml:space="preserve">“condemnees are entitled not just to the value of their properties as used at the date of taking, but rather to the value their properties would command in the open market in light of the highest and most profitable use to which they might reasonably </w:t>
      </w:r>
      <w:r w:rsidR="00B97662">
        <w:rPr>
          <w:rFonts w:ascii="Times New Roman" w:hAnsi="Times New Roman" w:cs="Times New Roman"/>
        </w:rPr>
        <w:t>be devoted in the near future.”</w:t>
      </w:r>
      <w:r w:rsidR="00B97662" w:rsidRPr="00140102">
        <w:rPr>
          <w:rStyle w:val="FootnoteReference"/>
          <w:rFonts w:ascii="Times New Roman" w:hAnsi="Times New Roman" w:cs="Times New Roman"/>
          <w:vertAlign w:val="superscript"/>
        </w:rPr>
        <w:footnoteReference w:id="9"/>
      </w:r>
      <w:r w:rsidR="00B97662">
        <w:rPr>
          <w:rFonts w:ascii="Times New Roman" w:hAnsi="Times New Roman" w:cs="Times New Roman"/>
        </w:rPr>
        <w:t xml:space="preserve"> </w:t>
      </w:r>
      <w:r>
        <w:rPr>
          <w:rFonts w:ascii="Times New Roman" w:hAnsi="Times New Roman" w:cs="Times New Roman"/>
        </w:rPr>
        <w:t>Following this standard, one sees why a court would a</w:t>
      </w:r>
      <w:r w:rsidR="005A6717">
        <w:rPr>
          <w:rFonts w:ascii="Times New Roman" w:hAnsi="Times New Roman" w:cs="Times New Roman"/>
        </w:rPr>
        <w:t xml:space="preserve">dmit </w:t>
      </w:r>
      <w:r w:rsidR="00B97662">
        <w:rPr>
          <w:rFonts w:ascii="Times New Roman" w:hAnsi="Times New Roman" w:cs="Times New Roman"/>
        </w:rPr>
        <w:t xml:space="preserve">comparable sales or rezoning </w:t>
      </w:r>
      <w:r w:rsidR="005A6717">
        <w:rPr>
          <w:rFonts w:ascii="Times New Roman" w:hAnsi="Times New Roman" w:cs="Times New Roman"/>
        </w:rPr>
        <w:t xml:space="preserve">that occurs </w:t>
      </w:r>
      <w:r w:rsidR="00B97662">
        <w:rPr>
          <w:rFonts w:ascii="Times New Roman" w:hAnsi="Times New Roman" w:cs="Times New Roman"/>
        </w:rPr>
        <w:t>subsequent to the date of taking</w:t>
      </w:r>
      <w:r>
        <w:rPr>
          <w:rFonts w:ascii="Times New Roman" w:hAnsi="Times New Roman" w:cs="Times New Roman"/>
        </w:rPr>
        <w:t>, if they indicate m</w:t>
      </w:r>
      <w:r w:rsidR="005A6717">
        <w:rPr>
          <w:rFonts w:ascii="Times New Roman" w:hAnsi="Times New Roman" w:cs="Times New Roman"/>
        </w:rPr>
        <w:t xml:space="preserve">arket expectations on the date of taking. </w:t>
      </w:r>
    </w:p>
    <w:p w:rsidR="00E74C12" w:rsidRPr="005361AD" w:rsidRDefault="005361AD" w:rsidP="005361AD">
      <w:pPr>
        <w:spacing w:line="480" w:lineRule="auto"/>
        <w:ind w:firstLine="720"/>
        <w:jc w:val="both"/>
        <w:rPr>
          <w:rFonts w:ascii="Times New Roman" w:hAnsi="Times New Roman" w:cs="Times New Roman"/>
          <w:b/>
        </w:rPr>
      </w:pPr>
      <w:r>
        <w:rPr>
          <w:rFonts w:ascii="Times New Roman" w:hAnsi="Times New Roman" w:cs="Times New Roman"/>
          <w:b/>
        </w:rPr>
        <w:t>B.</w:t>
      </w:r>
      <w:r>
        <w:rPr>
          <w:rFonts w:ascii="Times New Roman" w:hAnsi="Times New Roman" w:cs="Times New Roman"/>
          <w:b/>
        </w:rPr>
        <w:tab/>
      </w:r>
      <w:r w:rsidR="00E74C12" w:rsidRPr="005361AD">
        <w:rPr>
          <w:rFonts w:ascii="Times New Roman" w:hAnsi="Times New Roman" w:cs="Times New Roman"/>
          <w:b/>
        </w:rPr>
        <w:t>USPAP</w:t>
      </w:r>
    </w:p>
    <w:p w:rsidR="00E74C12" w:rsidRPr="00534155" w:rsidRDefault="00E74C12" w:rsidP="00E74C12">
      <w:pPr>
        <w:spacing w:line="480" w:lineRule="auto"/>
        <w:ind w:firstLine="720"/>
        <w:jc w:val="both"/>
        <w:rPr>
          <w:rFonts w:ascii="Times New Roman" w:hAnsi="Times New Roman" w:cs="Times New Roman"/>
        </w:rPr>
      </w:pPr>
      <w:r w:rsidRPr="00534155">
        <w:rPr>
          <w:rFonts w:ascii="Times New Roman" w:hAnsi="Times New Roman" w:cs="Times New Roman"/>
        </w:rPr>
        <w:t>Professional appraisers and courts throughout North America generally acce</w:t>
      </w:r>
      <w:r w:rsidR="005A6717">
        <w:rPr>
          <w:rFonts w:ascii="Times New Roman" w:hAnsi="Times New Roman" w:cs="Times New Roman"/>
        </w:rPr>
        <w:t>pt USPAP</w:t>
      </w:r>
      <w:r w:rsidRPr="00534155">
        <w:rPr>
          <w:rFonts w:ascii="Times New Roman" w:hAnsi="Times New Roman" w:cs="Times New Roman"/>
        </w:rPr>
        <w:t xml:space="preserve"> as the leading standard. According to USPAP, “retrospective appraisals” are those in which the effective date of the appraisal occurs </w:t>
      </w:r>
      <w:r w:rsidRPr="00534155">
        <w:rPr>
          <w:rFonts w:ascii="Times New Roman" w:hAnsi="Times New Roman" w:cs="Times New Roman"/>
          <w:i/>
        </w:rPr>
        <w:t xml:space="preserve">before </w:t>
      </w:r>
      <w:r w:rsidRPr="00534155">
        <w:rPr>
          <w:rFonts w:ascii="Times New Roman" w:hAnsi="Times New Roman" w:cs="Times New Roman"/>
        </w:rPr>
        <w:t>the date of the report.</w:t>
      </w:r>
      <w:r w:rsidRPr="001A088C">
        <w:rPr>
          <w:rStyle w:val="FootnoteReference"/>
          <w:rFonts w:ascii="Times New Roman" w:hAnsi="Times New Roman" w:cs="Times New Roman"/>
          <w:vertAlign w:val="superscript"/>
        </w:rPr>
        <w:footnoteReference w:id="10"/>
      </w:r>
      <w:r w:rsidRPr="001A088C">
        <w:rPr>
          <w:rFonts w:ascii="Times New Roman" w:hAnsi="Times New Roman" w:cs="Times New Roman"/>
          <w:vertAlign w:val="superscript"/>
        </w:rPr>
        <w:t xml:space="preserve"> </w:t>
      </w:r>
      <w:r w:rsidR="005A6717">
        <w:rPr>
          <w:rFonts w:ascii="Times New Roman" w:hAnsi="Times New Roman" w:cs="Times New Roman"/>
        </w:rPr>
        <w:t>This contrasts with “c</w:t>
      </w:r>
      <w:r w:rsidRPr="00534155">
        <w:rPr>
          <w:rFonts w:ascii="Times New Roman" w:hAnsi="Times New Roman" w:cs="Times New Roman"/>
        </w:rPr>
        <w:t>urrent appraisals”, which “occur when the effective date of the appraisal is contemporaneous with the date of the report.”</w:t>
      </w:r>
      <w:r w:rsidRPr="001A088C">
        <w:rPr>
          <w:rStyle w:val="FootnoteReference"/>
          <w:rFonts w:ascii="Times New Roman" w:hAnsi="Times New Roman" w:cs="Times New Roman"/>
          <w:vertAlign w:val="superscript"/>
        </w:rPr>
        <w:footnoteReference w:id="11"/>
      </w:r>
      <w:r w:rsidRPr="001A088C">
        <w:rPr>
          <w:rFonts w:ascii="Times New Roman" w:hAnsi="Times New Roman" w:cs="Times New Roman"/>
          <w:vertAlign w:val="superscript"/>
        </w:rPr>
        <w:t xml:space="preserve"> </w:t>
      </w:r>
      <w:r w:rsidR="00294955" w:rsidRPr="00534155">
        <w:rPr>
          <w:rFonts w:ascii="Times New Roman" w:hAnsi="Times New Roman" w:cs="Times New Roman"/>
        </w:rPr>
        <w:t>A t</w:t>
      </w:r>
      <w:r w:rsidR="00294955">
        <w:rPr>
          <w:rFonts w:ascii="Times New Roman" w:hAnsi="Times New Roman" w:cs="Times New Roman"/>
        </w:rPr>
        <w:t>hird category of “prospective appr</w:t>
      </w:r>
      <w:r w:rsidR="00294955" w:rsidRPr="00534155">
        <w:rPr>
          <w:rFonts w:ascii="Times New Roman" w:hAnsi="Times New Roman" w:cs="Times New Roman"/>
        </w:rPr>
        <w:t>ai</w:t>
      </w:r>
      <w:r w:rsidR="00294955">
        <w:rPr>
          <w:rFonts w:ascii="Times New Roman" w:hAnsi="Times New Roman" w:cs="Times New Roman"/>
        </w:rPr>
        <w:t>sals”</w:t>
      </w:r>
      <w:r w:rsidR="00294955" w:rsidRPr="00534155">
        <w:rPr>
          <w:rFonts w:ascii="Times New Roman" w:hAnsi="Times New Roman" w:cs="Times New Roman"/>
        </w:rPr>
        <w:t xml:space="preserve"> occurs</w:t>
      </w:r>
      <w:r w:rsidRPr="00534155">
        <w:rPr>
          <w:rFonts w:ascii="Times New Roman" w:hAnsi="Times New Roman" w:cs="Times New Roman"/>
        </w:rPr>
        <w:t xml:space="preserve"> where the effective date </w:t>
      </w:r>
      <w:r w:rsidRPr="00534155">
        <w:rPr>
          <w:rFonts w:ascii="Times New Roman" w:hAnsi="Times New Roman" w:cs="Times New Roman"/>
        </w:rPr>
        <w:lastRenderedPageBreak/>
        <w:t>of the appraisal is subsequent to the date of the report.</w:t>
      </w:r>
      <w:r w:rsidRPr="001A088C">
        <w:rPr>
          <w:rStyle w:val="FootnoteReference"/>
          <w:rFonts w:ascii="Times New Roman" w:hAnsi="Times New Roman" w:cs="Times New Roman"/>
          <w:vertAlign w:val="superscript"/>
        </w:rPr>
        <w:footnoteReference w:id="12"/>
      </w:r>
      <w:r w:rsidRPr="001A088C">
        <w:rPr>
          <w:rFonts w:ascii="Times New Roman" w:hAnsi="Times New Roman" w:cs="Times New Roman"/>
          <w:vertAlign w:val="superscript"/>
        </w:rPr>
        <w:t xml:space="preserve"> </w:t>
      </w:r>
      <w:r w:rsidRPr="00534155">
        <w:rPr>
          <w:rFonts w:ascii="Times New Roman" w:hAnsi="Times New Roman" w:cs="Times New Roman"/>
        </w:rPr>
        <w:t xml:space="preserve">This type of appraisal is relevant mostly to determine cash flow projections, and is not relevant to this </w:t>
      </w:r>
      <w:r w:rsidR="00677840">
        <w:rPr>
          <w:rFonts w:ascii="Times New Roman" w:hAnsi="Times New Roman" w:cs="Times New Roman"/>
        </w:rPr>
        <w:t>article</w:t>
      </w:r>
      <w:r w:rsidRPr="00534155">
        <w:rPr>
          <w:rFonts w:ascii="Times New Roman" w:hAnsi="Times New Roman" w:cs="Times New Roman"/>
        </w:rPr>
        <w:t>.</w:t>
      </w:r>
      <w:r w:rsidRPr="00140102">
        <w:rPr>
          <w:rStyle w:val="FootnoteReference"/>
          <w:rFonts w:ascii="Times New Roman" w:hAnsi="Times New Roman" w:cs="Times New Roman"/>
          <w:vertAlign w:val="superscript"/>
        </w:rPr>
        <w:footnoteReference w:id="13"/>
      </w:r>
    </w:p>
    <w:p w:rsidR="00E74C12" w:rsidRPr="00534155" w:rsidRDefault="00677840" w:rsidP="00E74C12">
      <w:pPr>
        <w:spacing w:line="480" w:lineRule="auto"/>
        <w:ind w:firstLine="720"/>
        <w:jc w:val="both"/>
        <w:rPr>
          <w:rFonts w:ascii="Times New Roman" w:hAnsi="Times New Roman" w:cs="Times New Roman"/>
        </w:rPr>
      </w:pPr>
      <w:r>
        <w:rPr>
          <w:rFonts w:ascii="Times New Roman" w:hAnsi="Times New Roman" w:cs="Times New Roman"/>
        </w:rPr>
        <w:t>A retrospective appraisal</w:t>
      </w:r>
      <w:r w:rsidR="00E74C12" w:rsidRPr="00534155">
        <w:rPr>
          <w:rFonts w:ascii="Times New Roman" w:hAnsi="Times New Roman" w:cs="Times New Roman"/>
        </w:rPr>
        <w:t xml:space="preserve"> attempts to </w:t>
      </w:r>
      <w:r>
        <w:rPr>
          <w:rFonts w:ascii="Times New Roman" w:hAnsi="Times New Roman" w:cs="Times New Roman"/>
        </w:rPr>
        <w:t>fix</w:t>
      </w:r>
      <w:r w:rsidR="00E74C12" w:rsidRPr="00534155">
        <w:rPr>
          <w:rFonts w:ascii="Times New Roman" w:hAnsi="Times New Roman" w:cs="Times New Roman"/>
        </w:rPr>
        <w:t xml:space="preserve"> a property’s value at a specific point </w:t>
      </w:r>
      <w:r w:rsidR="00E74C12" w:rsidRPr="00534155">
        <w:rPr>
          <w:rFonts w:ascii="Times New Roman" w:hAnsi="Times New Roman" w:cs="Times New Roman"/>
          <w:i/>
        </w:rPr>
        <w:t xml:space="preserve">in the past. </w:t>
      </w:r>
      <w:r w:rsidR="00E74C12" w:rsidRPr="00534155">
        <w:rPr>
          <w:rFonts w:ascii="Times New Roman" w:hAnsi="Times New Roman" w:cs="Times New Roman"/>
        </w:rPr>
        <w:t>For exampl</w:t>
      </w:r>
      <w:r>
        <w:rPr>
          <w:rFonts w:ascii="Times New Roman" w:hAnsi="Times New Roman" w:cs="Times New Roman"/>
        </w:rPr>
        <w:t xml:space="preserve">e, an appraiser might issue her </w:t>
      </w:r>
      <w:r w:rsidR="00E74C12" w:rsidRPr="00534155">
        <w:rPr>
          <w:rFonts w:ascii="Times New Roman" w:hAnsi="Times New Roman" w:cs="Times New Roman"/>
        </w:rPr>
        <w:t>report on June 1, 2011, but the report states the value of the p</w:t>
      </w:r>
      <w:r>
        <w:rPr>
          <w:rFonts w:ascii="Times New Roman" w:hAnsi="Times New Roman" w:cs="Times New Roman"/>
        </w:rPr>
        <w:t xml:space="preserve">roperty as of January 1, 2011. </w:t>
      </w:r>
      <w:r w:rsidR="00E74C12" w:rsidRPr="00534155">
        <w:rPr>
          <w:rFonts w:ascii="Times New Roman" w:hAnsi="Times New Roman" w:cs="Times New Roman"/>
        </w:rPr>
        <w:t>The USPAP noted the difficulty in such apprais</w:t>
      </w:r>
      <w:r>
        <w:rPr>
          <w:rFonts w:ascii="Times New Roman" w:hAnsi="Times New Roman" w:cs="Times New Roman"/>
        </w:rPr>
        <w:t>als, which are often required where agencies use</w:t>
      </w:r>
      <w:r w:rsidR="00E74C12" w:rsidRPr="00534155">
        <w:rPr>
          <w:rFonts w:ascii="Times New Roman" w:hAnsi="Times New Roman" w:cs="Times New Roman"/>
        </w:rPr>
        <w:t xml:space="preserve"> “quick take” </w:t>
      </w:r>
      <w:r>
        <w:rPr>
          <w:rFonts w:ascii="Times New Roman" w:hAnsi="Times New Roman" w:cs="Times New Roman"/>
        </w:rPr>
        <w:t xml:space="preserve">statutes to take title before paying compensation. </w:t>
      </w:r>
      <w:r w:rsidR="00E74C12" w:rsidRPr="00534155">
        <w:rPr>
          <w:rFonts w:ascii="Times New Roman" w:hAnsi="Times New Roman" w:cs="Times New Roman"/>
        </w:rPr>
        <w:t xml:space="preserve"> </w:t>
      </w:r>
    </w:p>
    <w:p w:rsidR="00E74C12" w:rsidRPr="00534155" w:rsidRDefault="00E74C12" w:rsidP="00E74C12">
      <w:pPr>
        <w:ind w:left="720" w:right="720"/>
        <w:jc w:val="both"/>
        <w:rPr>
          <w:rFonts w:ascii="Times New Roman" w:hAnsi="Times New Roman" w:cs="Times New Roman"/>
        </w:rPr>
      </w:pPr>
      <w:r w:rsidRPr="00534155">
        <w:rPr>
          <w:rFonts w:ascii="Times New Roman" w:hAnsi="Times New Roman" w:cs="Times New Roman"/>
        </w:rPr>
        <w:t xml:space="preserve">A retrospective appraisal is complicated by the fact that the appraiser already knows what occurred in the market after the effective date of the appraisal. </w:t>
      </w:r>
      <w:r w:rsidRPr="00534155">
        <w:rPr>
          <w:rFonts w:ascii="Times New Roman" w:hAnsi="Times New Roman" w:cs="Times New Roman"/>
          <w:i/>
        </w:rPr>
        <w:t>Data subsequent to the effective date may be considered in developing a retrospective value</w:t>
      </w:r>
      <w:r w:rsidRPr="00534155">
        <w:rPr>
          <w:rFonts w:ascii="Times New Roman" w:hAnsi="Times New Roman" w:cs="Times New Roman"/>
        </w:rPr>
        <w:t xml:space="preserve"> as a confirmation of trends that would reasonably be considered by a buyer or seller as of that date.</w:t>
      </w:r>
      <w:r w:rsidRPr="00140102">
        <w:rPr>
          <w:rStyle w:val="FootnoteReference"/>
          <w:rFonts w:ascii="Times New Roman" w:hAnsi="Times New Roman" w:cs="Times New Roman"/>
          <w:vertAlign w:val="superscript"/>
        </w:rPr>
        <w:footnoteReference w:id="14"/>
      </w:r>
    </w:p>
    <w:p w:rsidR="00E74C12" w:rsidRPr="00534155" w:rsidRDefault="00E74C12" w:rsidP="00E74C12">
      <w:pPr>
        <w:ind w:left="720" w:right="720"/>
        <w:jc w:val="both"/>
        <w:rPr>
          <w:rFonts w:ascii="Times New Roman" w:hAnsi="Times New Roman" w:cs="Times New Roman"/>
        </w:rPr>
      </w:pPr>
    </w:p>
    <w:p w:rsidR="00E74C12" w:rsidRPr="00534155" w:rsidRDefault="00677840" w:rsidP="00E74C12">
      <w:pPr>
        <w:spacing w:line="480" w:lineRule="auto"/>
        <w:jc w:val="both"/>
        <w:rPr>
          <w:rFonts w:ascii="Times New Roman" w:hAnsi="Times New Roman" w:cs="Times New Roman"/>
        </w:rPr>
      </w:pPr>
      <w:r>
        <w:rPr>
          <w:rFonts w:ascii="Times New Roman" w:hAnsi="Times New Roman" w:cs="Times New Roman"/>
        </w:rPr>
        <w:t>In</w:t>
      </w:r>
      <w:r w:rsidR="00E74C12" w:rsidRPr="00534155">
        <w:rPr>
          <w:rFonts w:ascii="Times New Roman" w:hAnsi="Times New Roman" w:cs="Times New Roman"/>
        </w:rPr>
        <w:t xml:space="preserve"> our example, the appraiser knows what happen</w:t>
      </w:r>
      <w:r>
        <w:rPr>
          <w:rFonts w:ascii="Times New Roman" w:hAnsi="Times New Roman" w:cs="Times New Roman"/>
        </w:rPr>
        <w:t xml:space="preserve">ed between January 1 and June 1. USPAP lets her rely on this knowledge, but only to </w:t>
      </w:r>
      <w:r w:rsidR="00E74C12" w:rsidRPr="00534155">
        <w:rPr>
          <w:rFonts w:ascii="Times New Roman" w:hAnsi="Times New Roman" w:cs="Times New Roman"/>
        </w:rPr>
        <w:t xml:space="preserve">confirm “trends that would reasonably be considered by a buyer or seller” as of the date of taking. </w:t>
      </w:r>
      <w:r>
        <w:rPr>
          <w:rFonts w:ascii="Times New Roman" w:hAnsi="Times New Roman" w:cs="Times New Roman"/>
        </w:rPr>
        <w:t>For example, if a property was</w:t>
      </w:r>
      <w:r w:rsidR="00E74C12" w:rsidRPr="00534155">
        <w:rPr>
          <w:rFonts w:ascii="Times New Roman" w:hAnsi="Times New Roman" w:cs="Times New Roman"/>
        </w:rPr>
        <w:t xml:space="preserve"> worth $100,000 on January 1, and a reasonable owner predicts it will increase in value to $150,</w:t>
      </w:r>
      <w:r>
        <w:rPr>
          <w:rFonts w:ascii="Times New Roman" w:hAnsi="Times New Roman" w:cs="Times New Roman"/>
        </w:rPr>
        <w:t>000 by June 1, the appraiser could</w:t>
      </w:r>
      <w:r w:rsidR="00E74C12" w:rsidRPr="00534155">
        <w:rPr>
          <w:rFonts w:ascii="Times New Roman" w:hAnsi="Times New Roman" w:cs="Times New Roman"/>
        </w:rPr>
        <w:t xml:space="preserve"> consider a sale of a comparable property on April 1 for $125,000</w:t>
      </w:r>
      <w:r>
        <w:rPr>
          <w:rFonts w:ascii="Times New Roman" w:hAnsi="Times New Roman" w:cs="Times New Roman"/>
        </w:rPr>
        <w:t xml:space="preserve">. </w:t>
      </w:r>
      <w:r w:rsidR="00E74C12" w:rsidRPr="00534155">
        <w:rPr>
          <w:rFonts w:ascii="Times New Roman" w:hAnsi="Times New Roman" w:cs="Times New Roman"/>
        </w:rPr>
        <w:t xml:space="preserve"> </w:t>
      </w:r>
    </w:p>
    <w:p w:rsidR="00E74C12" w:rsidRPr="00534155" w:rsidRDefault="00677840" w:rsidP="00E74C12">
      <w:pPr>
        <w:spacing w:line="480" w:lineRule="auto"/>
        <w:jc w:val="both"/>
        <w:rPr>
          <w:rFonts w:ascii="Times New Roman" w:hAnsi="Times New Roman" w:cs="Times New Roman"/>
        </w:rPr>
      </w:pPr>
      <w:r>
        <w:rPr>
          <w:rFonts w:ascii="Times New Roman" w:hAnsi="Times New Roman" w:cs="Times New Roman"/>
        </w:rPr>
        <w:tab/>
        <w:t xml:space="preserve">USPAP further limits use of </w:t>
      </w:r>
      <w:r w:rsidR="00E74C12" w:rsidRPr="00534155">
        <w:rPr>
          <w:rFonts w:ascii="Times New Roman" w:hAnsi="Times New Roman" w:cs="Times New Roman"/>
        </w:rPr>
        <w:t>subsequent data:</w:t>
      </w:r>
    </w:p>
    <w:p w:rsidR="00E74C12" w:rsidRDefault="00E74C12" w:rsidP="00E74C12">
      <w:pPr>
        <w:ind w:left="720" w:right="720"/>
        <w:jc w:val="both"/>
        <w:rPr>
          <w:rFonts w:ascii="Times New Roman" w:hAnsi="Times New Roman" w:cs="Times New Roman"/>
        </w:rPr>
      </w:pPr>
      <w:r w:rsidRPr="00677840">
        <w:rPr>
          <w:rFonts w:ascii="Times New Roman" w:hAnsi="Times New Roman" w:cs="Times New Roman"/>
          <w:i/>
        </w:rPr>
        <w:t>The appraiser should determine a logical cut-off</w:t>
      </w:r>
      <w:r w:rsidRPr="00534155">
        <w:rPr>
          <w:rFonts w:ascii="Times New Roman" w:hAnsi="Times New Roman" w:cs="Times New Roman"/>
        </w:rPr>
        <w:t xml:space="preserve"> because at some point distant from the effective date, the subsequent data will not reflect the relevant market. This is a difficult determination to make. Studying the market conditions as of the date of the appraisal assists the appraiser in judging where he or she should make this cut-off. In the absence of evidence in the market that data subsequent to the effective date were consistent with and confirmed market expectations as of the effective date, the effective date should be used as the cut-off date for data considered by the appraiser.</w:t>
      </w:r>
      <w:r w:rsidRPr="00140102">
        <w:rPr>
          <w:rStyle w:val="FootnoteReference"/>
          <w:rFonts w:ascii="Times New Roman" w:hAnsi="Times New Roman" w:cs="Times New Roman"/>
          <w:vertAlign w:val="superscript"/>
        </w:rPr>
        <w:footnoteReference w:id="15"/>
      </w:r>
    </w:p>
    <w:p w:rsidR="00140102" w:rsidRPr="00534155" w:rsidRDefault="00140102" w:rsidP="00E74C12">
      <w:pPr>
        <w:ind w:left="720" w:right="720"/>
        <w:jc w:val="both"/>
        <w:rPr>
          <w:rFonts w:ascii="Times New Roman" w:hAnsi="Times New Roman" w:cs="Times New Roman"/>
        </w:rPr>
      </w:pPr>
    </w:p>
    <w:p w:rsidR="00E74C12" w:rsidRPr="00534155" w:rsidRDefault="00677840" w:rsidP="00677840">
      <w:pPr>
        <w:spacing w:line="480" w:lineRule="auto"/>
        <w:jc w:val="both"/>
        <w:rPr>
          <w:rFonts w:ascii="Times New Roman" w:hAnsi="Times New Roman" w:cs="Times New Roman"/>
        </w:rPr>
      </w:pPr>
      <w:r>
        <w:rPr>
          <w:rFonts w:ascii="Times New Roman" w:hAnsi="Times New Roman" w:cs="Times New Roman"/>
        </w:rPr>
        <w:t xml:space="preserve">Reading this paragraph, one realizes that the USPAP does not offer much guidance on determining </w:t>
      </w:r>
      <w:r>
        <w:rPr>
          <w:rFonts w:ascii="Times New Roman" w:hAnsi="Times New Roman" w:cs="Times New Roman"/>
        </w:rPr>
        <w:lastRenderedPageBreak/>
        <w:t xml:space="preserve">a cut-off date. It uses the open-ended standard, </w:t>
      </w:r>
      <w:r w:rsidR="00E74C12" w:rsidRPr="00534155">
        <w:rPr>
          <w:rFonts w:ascii="Times New Roman" w:hAnsi="Times New Roman" w:cs="Times New Roman"/>
        </w:rPr>
        <w:t>“market conditions a</w:t>
      </w:r>
      <w:r>
        <w:rPr>
          <w:rFonts w:ascii="Times New Roman" w:hAnsi="Times New Roman" w:cs="Times New Roman"/>
        </w:rPr>
        <w:t>s of the date of the appraisal”.</w:t>
      </w:r>
      <w:r w:rsidR="00E74C12" w:rsidRPr="00534155">
        <w:rPr>
          <w:rFonts w:ascii="Times New Roman" w:hAnsi="Times New Roman" w:cs="Times New Roman"/>
        </w:rPr>
        <w:t xml:space="preserve"> </w:t>
      </w:r>
      <w:r>
        <w:rPr>
          <w:rFonts w:ascii="Times New Roman" w:hAnsi="Times New Roman" w:cs="Times New Roman"/>
        </w:rPr>
        <w:t xml:space="preserve">However, </w:t>
      </w:r>
      <w:r w:rsidR="00E74C12" w:rsidRPr="00534155">
        <w:rPr>
          <w:rFonts w:ascii="Times New Roman" w:hAnsi="Times New Roman" w:cs="Times New Roman"/>
        </w:rPr>
        <w:t xml:space="preserve">USPAP </w:t>
      </w:r>
      <w:r>
        <w:rPr>
          <w:rFonts w:ascii="Times New Roman" w:hAnsi="Times New Roman" w:cs="Times New Roman"/>
        </w:rPr>
        <w:t>notes,</w:t>
      </w:r>
      <w:r w:rsidR="00E74C12" w:rsidRPr="00534155">
        <w:rPr>
          <w:rFonts w:ascii="Times New Roman" w:hAnsi="Times New Roman" w:cs="Times New Roman"/>
        </w:rPr>
        <w:t xml:space="preserve"> “Use of direct excerpts from then-current appraisal reports prepared at the time of the retrospective effective date helps the appraiser and the reader understand market conditions as of the retrospective effective date.”</w:t>
      </w:r>
      <w:r w:rsidR="00E74C12" w:rsidRPr="00140102">
        <w:rPr>
          <w:rStyle w:val="FootnoteReference"/>
          <w:rFonts w:ascii="Times New Roman" w:hAnsi="Times New Roman" w:cs="Times New Roman"/>
          <w:vertAlign w:val="superscript"/>
        </w:rPr>
        <w:footnoteReference w:id="16"/>
      </w:r>
      <w:r w:rsidR="00E74C12" w:rsidRPr="00140102">
        <w:rPr>
          <w:rFonts w:ascii="Times New Roman" w:hAnsi="Times New Roman" w:cs="Times New Roman"/>
          <w:vertAlign w:val="superscript"/>
        </w:rPr>
        <w:t xml:space="preserve"> </w:t>
      </w:r>
      <w:r>
        <w:rPr>
          <w:rFonts w:ascii="Times New Roman" w:hAnsi="Times New Roman" w:cs="Times New Roman"/>
        </w:rPr>
        <w:t>Overall, USPAP indicates that the use of data subsequent to the date of taking must be determined on an ad hoc, case-by-case basis. Further, it hints that appraisers must disregard su</w:t>
      </w:r>
      <w:r w:rsidR="00E74C12" w:rsidRPr="00534155">
        <w:rPr>
          <w:rFonts w:ascii="Times New Roman" w:hAnsi="Times New Roman" w:cs="Times New Roman"/>
        </w:rPr>
        <w:t xml:space="preserve">bsequent data that is wildly not consistent with </w:t>
      </w:r>
      <w:r>
        <w:rPr>
          <w:rFonts w:ascii="Times New Roman" w:hAnsi="Times New Roman" w:cs="Times New Roman"/>
        </w:rPr>
        <w:t>“predictions”</w:t>
      </w:r>
      <w:r w:rsidR="00E74C12" w:rsidRPr="00534155">
        <w:rPr>
          <w:rFonts w:ascii="Times New Roman" w:hAnsi="Times New Roman" w:cs="Times New Roman"/>
        </w:rPr>
        <w:t xml:space="preserve"> </w:t>
      </w:r>
      <w:r>
        <w:rPr>
          <w:rFonts w:ascii="Times New Roman" w:hAnsi="Times New Roman" w:cs="Times New Roman"/>
        </w:rPr>
        <w:t>based on the market as of the date of taking, as found in appraisal reports made closer to that date.</w:t>
      </w:r>
    </w:p>
    <w:p w:rsidR="00E74C12" w:rsidRPr="005361AD" w:rsidRDefault="005361AD" w:rsidP="005361AD">
      <w:pPr>
        <w:spacing w:line="480" w:lineRule="auto"/>
        <w:ind w:firstLine="720"/>
        <w:jc w:val="both"/>
        <w:rPr>
          <w:rFonts w:ascii="Times New Roman" w:hAnsi="Times New Roman" w:cs="Times New Roman"/>
          <w:b/>
        </w:rPr>
      </w:pPr>
      <w:r>
        <w:rPr>
          <w:rFonts w:ascii="Times New Roman" w:hAnsi="Times New Roman" w:cs="Times New Roman"/>
          <w:b/>
        </w:rPr>
        <w:t>C.</w:t>
      </w:r>
      <w:r>
        <w:rPr>
          <w:rFonts w:ascii="Times New Roman" w:hAnsi="Times New Roman" w:cs="Times New Roman"/>
          <w:b/>
        </w:rPr>
        <w:tab/>
      </w:r>
      <w:r w:rsidR="00E74C12" w:rsidRPr="005361AD">
        <w:rPr>
          <w:rFonts w:ascii="Times New Roman" w:hAnsi="Times New Roman" w:cs="Times New Roman"/>
          <w:b/>
        </w:rPr>
        <w:t>Nichols on Eminent Domain</w:t>
      </w:r>
    </w:p>
    <w:p w:rsidR="00E74C12" w:rsidRPr="00534155" w:rsidRDefault="00E74C12" w:rsidP="00005B3C">
      <w:pPr>
        <w:spacing w:line="480" w:lineRule="auto"/>
        <w:ind w:firstLine="720"/>
        <w:jc w:val="both"/>
        <w:rPr>
          <w:rFonts w:ascii="Times New Roman" w:hAnsi="Times New Roman" w:cs="Times New Roman"/>
        </w:rPr>
      </w:pPr>
      <w:r w:rsidRPr="00534155">
        <w:rPr>
          <w:rFonts w:ascii="Times New Roman" w:hAnsi="Times New Roman" w:cs="Times New Roman"/>
        </w:rPr>
        <w:t>Nichols</w:t>
      </w:r>
      <w:r w:rsidR="00677840">
        <w:rPr>
          <w:rFonts w:ascii="Times New Roman" w:hAnsi="Times New Roman" w:cs="Times New Roman"/>
        </w:rPr>
        <w:t xml:space="preserve"> elucidates principles similar to USPAP. It cautions, </w:t>
      </w:r>
      <w:r w:rsidRPr="00534155">
        <w:rPr>
          <w:rFonts w:ascii="Times New Roman" w:hAnsi="Times New Roman" w:cs="Times New Roman"/>
        </w:rPr>
        <w:t>“Care must be taken by the parties to ensure that strict adherence to the legal date of value does not create a valuation less or more than just compensation.”</w:t>
      </w:r>
      <w:r w:rsidRPr="00677840">
        <w:rPr>
          <w:rStyle w:val="FootnoteReference"/>
          <w:rFonts w:ascii="Times New Roman" w:hAnsi="Times New Roman" w:cs="Times New Roman"/>
          <w:vertAlign w:val="superscript"/>
        </w:rPr>
        <w:footnoteReference w:id="17"/>
      </w:r>
      <w:r w:rsidR="00677840">
        <w:rPr>
          <w:rFonts w:ascii="Times New Roman" w:hAnsi="Times New Roman" w:cs="Times New Roman"/>
        </w:rPr>
        <w:t xml:space="preserve"> </w:t>
      </w:r>
      <w:r w:rsidRPr="00534155">
        <w:rPr>
          <w:rFonts w:ascii="Times New Roman" w:hAnsi="Times New Roman" w:cs="Times New Roman"/>
        </w:rPr>
        <w:t xml:space="preserve">Nichols </w:t>
      </w:r>
      <w:r w:rsidR="00005B3C">
        <w:rPr>
          <w:rFonts w:ascii="Times New Roman" w:hAnsi="Times New Roman" w:cs="Times New Roman"/>
        </w:rPr>
        <w:t>s</w:t>
      </w:r>
      <w:r w:rsidRPr="00534155">
        <w:rPr>
          <w:rFonts w:ascii="Times New Roman" w:hAnsi="Times New Roman" w:cs="Times New Roman"/>
        </w:rPr>
        <w:t>trongly encourages appraisers to consider data subsequent to the date of taking, but again only to confirm or deny market trends the buyer or seller of property would have predicted on the date of taking.</w:t>
      </w:r>
    </w:p>
    <w:p w:rsidR="00E74C12" w:rsidRPr="00534155" w:rsidRDefault="00E74C12" w:rsidP="00E74C12">
      <w:pPr>
        <w:ind w:left="720" w:right="720"/>
        <w:jc w:val="both"/>
        <w:rPr>
          <w:rFonts w:ascii="Times New Roman" w:hAnsi="Times New Roman" w:cs="Times New Roman"/>
        </w:rPr>
      </w:pPr>
      <w:r w:rsidRPr="00534155">
        <w:rPr>
          <w:rFonts w:ascii="Times New Roman" w:hAnsi="Times New Roman" w:cs="Times New Roman"/>
        </w:rPr>
        <w:t>Although the date of appraisal must be the correct date of valuation, the appraiser may normally apply knowledge learned after the value date. For example, the mere fact that a comparable sale occurs after the date of value does not render the sale inadmissible per se. Furthermore, subsequent zoning actions may be relevant to both land value and dam</w:t>
      </w:r>
      <w:r w:rsidR="00005B3C">
        <w:rPr>
          <w:rFonts w:ascii="Times New Roman" w:hAnsi="Times New Roman" w:cs="Times New Roman"/>
        </w:rPr>
        <w:t>a</w:t>
      </w:r>
      <w:r w:rsidRPr="00534155">
        <w:rPr>
          <w:rFonts w:ascii="Times New Roman" w:hAnsi="Times New Roman" w:cs="Times New Roman"/>
        </w:rPr>
        <w:t xml:space="preserve">ges, or special benefits. </w:t>
      </w:r>
      <w:r w:rsidRPr="00534155">
        <w:rPr>
          <w:rFonts w:ascii="Times New Roman" w:hAnsi="Times New Roman" w:cs="Times New Roman"/>
          <w:i/>
        </w:rPr>
        <w:t>Again, such subsequent information is admissible if applied to the subject as w</w:t>
      </w:r>
      <w:r w:rsidR="008F1A12">
        <w:rPr>
          <w:rFonts w:ascii="Times New Roman" w:hAnsi="Times New Roman" w:cs="Times New Roman"/>
          <w:i/>
        </w:rPr>
        <w:t>hat was known as of the date of</w:t>
      </w:r>
      <w:r w:rsidRPr="00534155">
        <w:rPr>
          <w:rFonts w:ascii="Times New Roman" w:hAnsi="Times New Roman" w:cs="Times New Roman"/>
          <w:i/>
        </w:rPr>
        <w:t xml:space="preserve"> value, or what could have reasonable been </w:t>
      </w:r>
      <w:r w:rsidR="00294955" w:rsidRPr="00534155">
        <w:rPr>
          <w:rFonts w:ascii="Times New Roman" w:hAnsi="Times New Roman" w:cs="Times New Roman"/>
          <w:i/>
        </w:rPr>
        <w:t>foreseen</w:t>
      </w:r>
      <w:r w:rsidRPr="00534155">
        <w:rPr>
          <w:rFonts w:ascii="Times New Roman" w:hAnsi="Times New Roman" w:cs="Times New Roman"/>
          <w:i/>
        </w:rPr>
        <w:t xml:space="preserve"> as of that date.</w:t>
      </w:r>
      <w:r w:rsidRPr="00534155">
        <w:rPr>
          <w:rFonts w:ascii="Times New Roman" w:hAnsi="Times New Roman" w:cs="Times New Roman"/>
        </w:rPr>
        <w:t>”</w:t>
      </w:r>
      <w:r w:rsidRPr="00005B3C">
        <w:rPr>
          <w:rStyle w:val="FootnoteReference"/>
          <w:rFonts w:ascii="Times New Roman" w:hAnsi="Times New Roman" w:cs="Times New Roman"/>
          <w:vertAlign w:val="superscript"/>
        </w:rPr>
        <w:footnoteReference w:id="18"/>
      </w:r>
    </w:p>
    <w:p w:rsidR="00E74C12" w:rsidRPr="00534155" w:rsidRDefault="00E74C12" w:rsidP="00E74C12">
      <w:pPr>
        <w:ind w:left="720" w:right="720"/>
        <w:jc w:val="both"/>
        <w:rPr>
          <w:rFonts w:ascii="Times New Roman" w:hAnsi="Times New Roman" w:cs="Times New Roman"/>
        </w:rPr>
      </w:pPr>
    </w:p>
    <w:p w:rsidR="008F1A12" w:rsidRDefault="00E74C12" w:rsidP="00E74C12">
      <w:pPr>
        <w:spacing w:line="480" w:lineRule="auto"/>
        <w:jc w:val="both"/>
        <w:rPr>
          <w:rFonts w:ascii="Times New Roman" w:hAnsi="Times New Roman" w:cs="Times New Roman"/>
        </w:rPr>
      </w:pPr>
      <w:r w:rsidRPr="00534155">
        <w:rPr>
          <w:rFonts w:ascii="Times New Roman" w:hAnsi="Times New Roman" w:cs="Times New Roman"/>
        </w:rPr>
        <w:t>The apprai</w:t>
      </w:r>
      <w:r w:rsidR="008F1A12">
        <w:rPr>
          <w:rFonts w:ascii="Times New Roman" w:hAnsi="Times New Roman" w:cs="Times New Roman"/>
        </w:rPr>
        <w:t>ser must</w:t>
      </w:r>
      <w:r w:rsidRPr="00534155">
        <w:rPr>
          <w:rFonts w:ascii="Times New Roman" w:hAnsi="Times New Roman" w:cs="Times New Roman"/>
        </w:rPr>
        <w:t xml:space="preserve"> tie in the subsequent data to pred</w:t>
      </w:r>
      <w:r w:rsidR="008F1A12">
        <w:rPr>
          <w:rFonts w:ascii="Times New Roman" w:hAnsi="Times New Roman" w:cs="Times New Roman"/>
        </w:rPr>
        <w:t>i</w:t>
      </w:r>
      <w:r w:rsidRPr="00534155">
        <w:rPr>
          <w:rFonts w:ascii="Times New Roman" w:hAnsi="Times New Roman" w:cs="Times New Roman"/>
        </w:rPr>
        <w:t xml:space="preserve">ctions as of the effective date. The treatise expands on this principle, noting that “subsequently acquired knowledge or ‘hindsight’” may be used in two situations: (a) “Where conditions which would have a definite effect upon the value of the property were in existence on the date that title vested in the condemnor, but were not </w:t>
      </w:r>
      <w:r w:rsidRPr="00534155">
        <w:rPr>
          <w:rFonts w:ascii="Times New Roman" w:hAnsi="Times New Roman" w:cs="Times New Roman"/>
        </w:rPr>
        <w:lastRenderedPageBreak/>
        <w:t>discovered until a later date; or (b) Where the amount of damages depends on uncertain future events.”</w:t>
      </w:r>
      <w:r w:rsidRPr="008F1A12">
        <w:rPr>
          <w:rStyle w:val="FootnoteReference"/>
          <w:rFonts w:ascii="Times New Roman" w:hAnsi="Times New Roman" w:cs="Times New Roman"/>
          <w:vertAlign w:val="superscript"/>
        </w:rPr>
        <w:footnoteReference w:id="19"/>
      </w:r>
      <w:r w:rsidRPr="008F1A12">
        <w:rPr>
          <w:rFonts w:ascii="Times New Roman" w:hAnsi="Times New Roman" w:cs="Times New Roman"/>
          <w:vertAlign w:val="superscript"/>
        </w:rPr>
        <w:t xml:space="preserve"> </w:t>
      </w:r>
      <w:r w:rsidRPr="00534155">
        <w:rPr>
          <w:rFonts w:ascii="Times New Roman" w:hAnsi="Times New Roman" w:cs="Times New Roman"/>
        </w:rPr>
        <w:t xml:space="preserve">Nichols identifies a paradox in the </w:t>
      </w:r>
      <w:r w:rsidR="008F1A12">
        <w:rPr>
          <w:rFonts w:ascii="Times New Roman" w:hAnsi="Times New Roman" w:cs="Times New Roman"/>
        </w:rPr>
        <w:t xml:space="preserve">first exception, stemming from </w:t>
      </w:r>
    </w:p>
    <w:p w:rsidR="008F1A12" w:rsidRDefault="00E74C12" w:rsidP="008F1A12">
      <w:pPr>
        <w:ind w:left="720" w:right="720"/>
        <w:jc w:val="both"/>
        <w:rPr>
          <w:rFonts w:ascii="Times New Roman" w:hAnsi="Times New Roman" w:cs="Times New Roman"/>
        </w:rPr>
      </w:pPr>
      <w:r w:rsidRPr="00534155">
        <w:rPr>
          <w:rFonts w:ascii="Times New Roman" w:hAnsi="Times New Roman" w:cs="Times New Roman"/>
        </w:rPr>
        <w:t>The use of the ‘market value’ concept as an end in itself, rather than as a means to an end. Used as an end in itself, it obviously follows that since such knowledge was unknown at the date of the taking, it could have no influence one way or the other upon the market value on that date.”</w:t>
      </w:r>
      <w:r w:rsidRPr="008F1A12">
        <w:rPr>
          <w:rStyle w:val="FootnoteReference"/>
          <w:rFonts w:ascii="Times New Roman" w:hAnsi="Times New Roman" w:cs="Times New Roman"/>
          <w:vertAlign w:val="superscript"/>
        </w:rPr>
        <w:footnoteReference w:id="20"/>
      </w:r>
    </w:p>
    <w:p w:rsidR="008F1A12" w:rsidRDefault="008F1A12" w:rsidP="008F1A12">
      <w:pPr>
        <w:ind w:left="720" w:right="720"/>
        <w:jc w:val="both"/>
        <w:rPr>
          <w:rFonts w:ascii="Times New Roman" w:hAnsi="Times New Roman" w:cs="Times New Roman"/>
        </w:rPr>
      </w:pPr>
    </w:p>
    <w:p w:rsidR="00E74C12" w:rsidRDefault="00E74C12" w:rsidP="00E74C12">
      <w:pPr>
        <w:spacing w:line="480" w:lineRule="auto"/>
        <w:jc w:val="both"/>
        <w:rPr>
          <w:rFonts w:ascii="Times New Roman" w:hAnsi="Times New Roman" w:cs="Times New Roman"/>
        </w:rPr>
      </w:pPr>
      <w:r w:rsidRPr="00534155">
        <w:rPr>
          <w:rFonts w:ascii="Times New Roman" w:hAnsi="Times New Roman" w:cs="Times New Roman"/>
        </w:rPr>
        <w:t>However, Nichols resolved this issue by noting that “actual value”, not “mark</w:t>
      </w:r>
      <w:r w:rsidR="008F1A12">
        <w:rPr>
          <w:rFonts w:ascii="Times New Roman" w:hAnsi="Times New Roman" w:cs="Times New Roman"/>
        </w:rPr>
        <w:t>et value”, is to be ascertained</w:t>
      </w:r>
      <w:r w:rsidRPr="008F1A12">
        <w:rPr>
          <w:rStyle w:val="FootnoteReference"/>
          <w:rFonts w:ascii="Times New Roman" w:hAnsi="Times New Roman" w:cs="Times New Roman"/>
          <w:vertAlign w:val="superscript"/>
        </w:rPr>
        <w:footnoteReference w:id="21"/>
      </w:r>
      <w:r w:rsidRPr="00534155">
        <w:rPr>
          <w:rFonts w:ascii="Times New Roman" w:hAnsi="Times New Roman" w:cs="Times New Roman"/>
        </w:rPr>
        <w:t xml:space="preserve"> “Market value is taken as the criterion of compensation, based on the proposition that it is the true measure of actual value</w:t>
      </w:r>
      <w:proofErr w:type="gramStart"/>
      <w:r w:rsidRPr="00534155">
        <w:rPr>
          <w:rFonts w:ascii="Times New Roman" w:hAnsi="Times New Roman" w:cs="Times New Roman"/>
        </w:rPr>
        <w:t>.”</w:t>
      </w:r>
      <w:proofErr w:type="gramEnd"/>
      <w:r w:rsidRPr="008F1A12">
        <w:rPr>
          <w:rStyle w:val="FootnoteReference"/>
          <w:rFonts w:ascii="Times New Roman" w:hAnsi="Times New Roman" w:cs="Times New Roman"/>
          <w:vertAlign w:val="superscript"/>
        </w:rPr>
        <w:footnoteReference w:id="22"/>
      </w:r>
      <w:r w:rsidR="00B3700E">
        <w:rPr>
          <w:rFonts w:ascii="Times New Roman" w:hAnsi="Times New Roman" w:cs="Times New Roman"/>
        </w:rPr>
        <w:t xml:space="preserve"> </w:t>
      </w:r>
    </w:p>
    <w:p w:rsidR="00C87E49" w:rsidRPr="00534155" w:rsidRDefault="00C87E49" w:rsidP="00A911BF">
      <w:pPr>
        <w:spacing w:line="480" w:lineRule="auto"/>
        <w:ind w:firstLine="720"/>
        <w:jc w:val="both"/>
        <w:rPr>
          <w:rFonts w:ascii="Times New Roman" w:hAnsi="Times New Roman" w:cs="Times New Roman"/>
        </w:rPr>
      </w:pPr>
      <w:r w:rsidRPr="00B3700E">
        <w:rPr>
          <w:rFonts w:ascii="Times New Roman" w:hAnsi="Times New Roman" w:cs="Times New Roman"/>
        </w:rPr>
        <w:t xml:space="preserve">Essentially, USPAP and Nichols tell us more about what cannot be considered evidence than what can be. Comparable sales and rezoning subsequent to the date of taking is not automatically admissible, nor is there a blanket exclusion for such evidence. Rather, such evidence is admissible to the extent that it confirms predictions about the actual value as of the date of taking. We will see, however, that this relatively simple principle has resulted in a mosaic of judicial opinions. </w:t>
      </w:r>
    </w:p>
    <w:p w:rsidR="001D343A" w:rsidRPr="005361AD" w:rsidRDefault="005361AD" w:rsidP="005361AD">
      <w:pPr>
        <w:spacing w:line="480" w:lineRule="auto"/>
        <w:ind w:left="810"/>
        <w:jc w:val="both"/>
        <w:rPr>
          <w:rFonts w:ascii="Times New Roman" w:hAnsi="Times New Roman" w:cs="Times New Roman"/>
          <w:b/>
        </w:rPr>
      </w:pPr>
      <w:r>
        <w:rPr>
          <w:rFonts w:ascii="Times New Roman" w:hAnsi="Times New Roman" w:cs="Times New Roman"/>
          <w:b/>
        </w:rPr>
        <w:t>D.</w:t>
      </w:r>
      <w:r>
        <w:rPr>
          <w:rFonts w:ascii="Times New Roman" w:hAnsi="Times New Roman" w:cs="Times New Roman"/>
          <w:b/>
        </w:rPr>
        <w:tab/>
      </w:r>
      <w:r w:rsidR="00B3700E" w:rsidRPr="005361AD">
        <w:rPr>
          <w:rFonts w:ascii="Times New Roman" w:hAnsi="Times New Roman" w:cs="Times New Roman"/>
          <w:b/>
        </w:rPr>
        <w:t>Scope of Project Rule</w:t>
      </w:r>
    </w:p>
    <w:p w:rsidR="00304638" w:rsidRDefault="00C87E49" w:rsidP="00C87E49">
      <w:pPr>
        <w:spacing w:line="480" w:lineRule="auto"/>
        <w:ind w:firstLine="720"/>
        <w:jc w:val="both"/>
        <w:rPr>
          <w:rFonts w:ascii="Times New Roman" w:hAnsi="Times New Roman" w:cs="Times New Roman"/>
        </w:rPr>
      </w:pPr>
      <w:r>
        <w:rPr>
          <w:rFonts w:ascii="Times New Roman" w:hAnsi="Times New Roman" w:cs="Times New Roman"/>
        </w:rPr>
        <w:t>There exists one strong prohibition on data subsequent to the date of taking, to which all federal and state courts adhere. The Supreme Court itself has stated that value created solely by the condemning agency’s demand for the property is not to be factored in to the just compensation analysis.</w:t>
      </w:r>
      <w:r w:rsidRPr="00140102">
        <w:rPr>
          <w:rStyle w:val="FootnoteReference"/>
          <w:rFonts w:ascii="Times New Roman" w:hAnsi="Times New Roman" w:cs="Times New Roman"/>
          <w:vertAlign w:val="superscript"/>
        </w:rPr>
        <w:footnoteReference w:id="23"/>
      </w:r>
      <w:r>
        <w:rPr>
          <w:rFonts w:ascii="Times New Roman" w:hAnsi="Times New Roman" w:cs="Times New Roman"/>
        </w:rPr>
        <w:t xml:space="preserve"> For example,</w:t>
      </w:r>
      <w:r w:rsidRPr="00140102">
        <w:rPr>
          <w:rFonts w:ascii="Times New Roman" w:hAnsi="Times New Roman" w:cs="Times New Roman"/>
          <w:vertAlign w:val="superscript"/>
        </w:rPr>
        <w:t xml:space="preserve"> </w:t>
      </w:r>
      <w:r>
        <w:rPr>
          <w:rFonts w:ascii="Times New Roman" w:hAnsi="Times New Roman" w:cs="Times New Roman"/>
        </w:rPr>
        <w:t xml:space="preserve">if property </w:t>
      </w:r>
      <w:r w:rsidR="00294955">
        <w:rPr>
          <w:rFonts w:ascii="Times New Roman" w:hAnsi="Times New Roman" w:cs="Times New Roman"/>
        </w:rPr>
        <w:t>were</w:t>
      </w:r>
      <w:r>
        <w:rPr>
          <w:rFonts w:ascii="Times New Roman" w:hAnsi="Times New Roman" w:cs="Times New Roman"/>
        </w:rPr>
        <w:t xml:space="preserve"> rezoned specifically for </w:t>
      </w:r>
      <w:r w:rsidR="00993BA7">
        <w:rPr>
          <w:rFonts w:ascii="Times New Roman" w:hAnsi="Times New Roman" w:cs="Times New Roman"/>
        </w:rPr>
        <w:t xml:space="preserve">the condemning agency’s project, evidence of that zoning would likely be inadmissible. Similarly, evidence of comparable sales demonstrating increases or decreases in value </w:t>
      </w:r>
      <w:r w:rsidR="00993BA7">
        <w:rPr>
          <w:rFonts w:ascii="Times New Roman" w:hAnsi="Times New Roman" w:cs="Times New Roman"/>
          <w:i/>
        </w:rPr>
        <w:t>because of</w:t>
      </w:r>
      <w:r w:rsidR="00993BA7">
        <w:rPr>
          <w:rFonts w:ascii="Times New Roman" w:hAnsi="Times New Roman" w:cs="Times New Roman"/>
        </w:rPr>
        <w:t xml:space="preserve"> the government’s project are also </w:t>
      </w:r>
      <w:r w:rsidR="00993BA7">
        <w:rPr>
          <w:rFonts w:ascii="Times New Roman" w:hAnsi="Times New Roman" w:cs="Times New Roman"/>
        </w:rPr>
        <w:lastRenderedPageBreak/>
        <w:t xml:space="preserve">generally excluded. </w:t>
      </w:r>
      <w:r w:rsidR="00304638">
        <w:rPr>
          <w:rFonts w:ascii="Times New Roman" w:hAnsi="Times New Roman" w:cs="Times New Roman"/>
        </w:rPr>
        <w:t>The Eleventh Circuit offered a succinct summary of the rule.</w:t>
      </w:r>
    </w:p>
    <w:p w:rsidR="00304638" w:rsidRDefault="00304638" w:rsidP="00304638">
      <w:pPr>
        <w:shd w:val="clear" w:color="auto" w:fill="FFFFFF"/>
        <w:ind w:left="720" w:right="720"/>
        <w:jc w:val="both"/>
        <w:rPr>
          <w:rFonts w:ascii="Times New Roman" w:eastAsia="Times New Roman" w:hAnsi="Times New Roman" w:cs="Times New Roman"/>
          <w:color w:val="333333"/>
        </w:rPr>
      </w:pPr>
      <w:r w:rsidRPr="005E0F47">
        <w:rPr>
          <w:rStyle w:val="apple-style-span"/>
          <w:rFonts w:ascii="Times New Roman" w:hAnsi="Times New Roman" w:cs="Times New Roman"/>
          <w:color w:val="333333"/>
          <w:shd w:val="clear" w:color="auto" w:fill="FFFFFF"/>
        </w:rPr>
        <w:t xml:space="preserve">This doctrine seeks to ensure that when deciding the market value of the property the fact-finding body does not consider the positive or the negative impact of any decision the Government makes within the scope of the </w:t>
      </w:r>
      <w:r w:rsidR="00294955" w:rsidRPr="005E0F47">
        <w:rPr>
          <w:rStyle w:val="apple-style-span"/>
          <w:rFonts w:ascii="Times New Roman" w:hAnsi="Times New Roman" w:cs="Times New Roman"/>
          <w:color w:val="333333"/>
          <w:shd w:val="clear" w:color="auto" w:fill="FFFFFF"/>
        </w:rPr>
        <w:t>project that</w:t>
      </w:r>
      <w:r w:rsidRPr="005E0F47">
        <w:rPr>
          <w:rStyle w:val="apple-style-span"/>
          <w:rFonts w:ascii="Times New Roman" w:hAnsi="Times New Roman" w:cs="Times New Roman"/>
          <w:color w:val="333333"/>
          <w:shd w:val="clear" w:color="auto" w:fill="FFFFFF"/>
        </w:rPr>
        <w:t xml:space="preserve"> prompted the taking. As a part of this doctrine, a fact finder may disregard the impact of a</w:t>
      </w:r>
      <w:r w:rsidRPr="005E0F47">
        <w:rPr>
          <w:rStyle w:val="apple-converted-space"/>
          <w:rFonts w:ascii="Times New Roman" w:hAnsi="Times New Roman" w:cs="Times New Roman"/>
          <w:color w:val="333333"/>
          <w:shd w:val="clear" w:color="auto" w:fill="FFFFFF"/>
        </w:rPr>
        <w:t> </w:t>
      </w:r>
      <w:r w:rsidRPr="005E0F47">
        <w:rPr>
          <w:rStyle w:val="term"/>
          <w:rFonts w:ascii="Times New Roman" w:hAnsi="Times New Roman" w:cs="Times New Roman"/>
          <w:bCs/>
          <w:color w:val="333333"/>
          <w:shd w:val="clear" w:color="auto" w:fill="FFFFFF"/>
        </w:rPr>
        <w:t>zoning</w:t>
      </w:r>
      <w:r w:rsidRPr="005E0F47">
        <w:rPr>
          <w:rStyle w:val="apple-converted-space"/>
          <w:rFonts w:ascii="Times New Roman" w:hAnsi="Times New Roman" w:cs="Times New Roman"/>
          <w:color w:val="333333"/>
          <w:shd w:val="clear" w:color="auto" w:fill="FFFFFF"/>
        </w:rPr>
        <w:t> </w:t>
      </w:r>
      <w:r w:rsidRPr="005E0F47">
        <w:rPr>
          <w:rStyle w:val="apple-style-span"/>
          <w:rFonts w:ascii="Times New Roman" w:hAnsi="Times New Roman" w:cs="Times New Roman"/>
          <w:color w:val="333333"/>
          <w:shd w:val="clear" w:color="auto" w:fill="FFFFFF"/>
        </w:rPr>
        <w:t>restriction on a piece of property in determining just compensation when the Government passed the restriction for the purpose of depressing the property's value in an impending eminent domain proceeding.</w:t>
      </w:r>
      <w:r w:rsidRPr="00304638">
        <w:rPr>
          <w:rStyle w:val="FootnoteReference"/>
          <w:rFonts w:ascii="Times New Roman" w:hAnsi="Times New Roman" w:cs="Times New Roman"/>
          <w:color w:val="333333"/>
          <w:shd w:val="clear" w:color="auto" w:fill="FFFFFF"/>
          <w:vertAlign w:val="superscript"/>
        </w:rPr>
        <w:footnoteReference w:id="24"/>
      </w:r>
    </w:p>
    <w:p w:rsidR="00304638" w:rsidRPr="00304638" w:rsidRDefault="00304638" w:rsidP="00304638">
      <w:pPr>
        <w:shd w:val="clear" w:color="auto" w:fill="FFFFFF"/>
        <w:ind w:left="720" w:right="720"/>
        <w:jc w:val="both"/>
        <w:rPr>
          <w:rFonts w:ascii="Times New Roman" w:eastAsia="Times New Roman" w:hAnsi="Times New Roman" w:cs="Times New Roman"/>
          <w:color w:val="333333"/>
        </w:rPr>
      </w:pPr>
      <w:r>
        <w:rPr>
          <w:rFonts w:ascii="Times New Roman" w:hAnsi="Times New Roman" w:cs="Times New Roman"/>
        </w:rPr>
        <w:tab/>
      </w:r>
    </w:p>
    <w:p w:rsidR="00C87E49" w:rsidRPr="00993BA7" w:rsidRDefault="00993BA7" w:rsidP="00304638">
      <w:pPr>
        <w:spacing w:line="480" w:lineRule="auto"/>
        <w:jc w:val="both"/>
        <w:rPr>
          <w:rFonts w:ascii="Times New Roman" w:hAnsi="Times New Roman" w:cs="Times New Roman"/>
        </w:rPr>
      </w:pPr>
      <w:r>
        <w:rPr>
          <w:rFonts w:ascii="Times New Roman" w:hAnsi="Times New Roman" w:cs="Times New Roman"/>
        </w:rPr>
        <w:t>The scope-of-the-project rule will emerge often in subsequent-to-date-of-takings cases, and is well worth mentioning before exploring the different jurisdictions’ positions on the issue.</w:t>
      </w:r>
    </w:p>
    <w:p w:rsidR="00E74C12" w:rsidRPr="005361AD" w:rsidRDefault="005361AD" w:rsidP="005361AD">
      <w:pPr>
        <w:spacing w:line="480" w:lineRule="auto"/>
        <w:jc w:val="both"/>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E74C12" w:rsidRPr="005361AD">
        <w:rPr>
          <w:rFonts w:ascii="Times New Roman" w:hAnsi="Times New Roman" w:cs="Times New Roman"/>
          <w:b/>
        </w:rPr>
        <w:t>Subsequent Comparable Sales</w:t>
      </w:r>
    </w:p>
    <w:p w:rsidR="00A41288" w:rsidRDefault="00A911BF" w:rsidP="00104E3B">
      <w:pPr>
        <w:spacing w:line="480" w:lineRule="auto"/>
        <w:ind w:firstLine="720"/>
        <w:jc w:val="both"/>
        <w:rPr>
          <w:rFonts w:ascii="Times New Roman" w:hAnsi="Times New Roman" w:cs="Times New Roman"/>
        </w:rPr>
      </w:pPr>
      <w:r>
        <w:rPr>
          <w:rFonts w:ascii="Times New Roman" w:hAnsi="Times New Roman" w:cs="Times New Roman"/>
        </w:rPr>
        <w:t>In the commonly used comparable sales method, t</w:t>
      </w:r>
      <w:r w:rsidRPr="00534155">
        <w:rPr>
          <w:rFonts w:ascii="Times New Roman" w:hAnsi="Times New Roman" w:cs="Times New Roman"/>
        </w:rPr>
        <w:t>he appraiser examines recent sales of similar properti</w:t>
      </w:r>
      <w:r>
        <w:rPr>
          <w:rFonts w:ascii="Times New Roman" w:hAnsi="Times New Roman" w:cs="Times New Roman"/>
        </w:rPr>
        <w:t xml:space="preserve">es near the condemned property then applies various statistical tools, to determine a market </w:t>
      </w:r>
      <w:r w:rsidR="00294955">
        <w:rPr>
          <w:rFonts w:ascii="Times New Roman" w:hAnsi="Times New Roman" w:cs="Times New Roman"/>
        </w:rPr>
        <w:t>value. Comparable</w:t>
      </w:r>
      <w:r>
        <w:rPr>
          <w:rFonts w:ascii="Times New Roman" w:hAnsi="Times New Roman" w:cs="Times New Roman"/>
        </w:rPr>
        <w:t xml:space="preserve"> sales </w:t>
      </w:r>
      <w:r w:rsidR="00E74C12" w:rsidRPr="00534155">
        <w:rPr>
          <w:rFonts w:ascii="Times New Roman" w:hAnsi="Times New Roman" w:cs="Times New Roman"/>
        </w:rPr>
        <w:t>must be voluntary, similar to the condemned property in location, zoning, access, and other characteristics, and not too remote in time from the date of taking.</w:t>
      </w:r>
      <w:r w:rsidR="00E74C12" w:rsidRPr="00534155">
        <w:rPr>
          <w:rStyle w:val="FootnoteReference"/>
          <w:rFonts w:ascii="Times New Roman" w:hAnsi="Times New Roman" w:cs="Times New Roman"/>
          <w:vertAlign w:val="superscript"/>
        </w:rPr>
        <w:footnoteReference w:id="25"/>
      </w:r>
      <w:r w:rsidR="00A41288">
        <w:rPr>
          <w:rFonts w:ascii="Times New Roman" w:hAnsi="Times New Roman" w:cs="Times New Roman"/>
        </w:rPr>
        <w:t xml:space="preserve"> The last factor—timing—is at issue in this paper. </w:t>
      </w:r>
      <w:r w:rsidR="00E74C12" w:rsidRPr="00534155">
        <w:rPr>
          <w:rFonts w:ascii="Times New Roman" w:hAnsi="Times New Roman" w:cs="Times New Roman"/>
        </w:rPr>
        <w:t>Most courts consider the remoteness</w:t>
      </w:r>
      <w:r w:rsidR="00A41288">
        <w:rPr>
          <w:rFonts w:ascii="Times New Roman" w:hAnsi="Times New Roman" w:cs="Times New Roman"/>
        </w:rPr>
        <w:t xml:space="preserve"> in time</w:t>
      </w:r>
      <w:r w:rsidR="00E74C12" w:rsidRPr="00534155">
        <w:rPr>
          <w:rFonts w:ascii="Times New Roman" w:hAnsi="Times New Roman" w:cs="Times New Roman"/>
        </w:rPr>
        <w:t xml:space="preserve"> of a comparable sale on a case-by-case basis, r</w:t>
      </w:r>
      <w:r w:rsidR="00A41288">
        <w:rPr>
          <w:rFonts w:ascii="Times New Roman" w:hAnsi="Times New Roman" w:cs="Times New Roman"/>
        </w:rPr>
        <w:t xml:space="preserve">ather than using a per se rule excluding subsequent sales or setting specific time limits in months or years. </w:t>
      </w:r>
    </w:p>
    <w:p w:rsidR="00E74C12" w:rsidRPr="005361AD" w:rsidRDefault="005361AD" w:rsidP="005361AD">
      <w:pPr>
        <w:ind w:firstLine="720"/>
        <w:jc w:val="both"/>
        <w:rPr>
          <w:rFonts w:ascii="Times New Roman" w:hAnsi="Times New Roman" w:cs="Times New Roman"/>
          <w:b/>
        </w:rPr>
      </w:pPr>
      <w:r>
        <w:rPr>
          <w:rFonts w:ascii="Times New Roman" w:hAnsi="Times New Roman" w:cs="Times New Roman"/>
          <w:b/>
        </w:rPr>
        <w:t>A.</w:t>
      </w:r>
      <w:r>
        <w:rPr>
          <w:rFonts w:ascii="Times New Roman" w:hAnsi="Times New Roman" w:cs="Times New Roman"/>
          <w:b/>
        </w:rPr>
        <w:tab/>
      </w:r>
      <w:r w:rsidR="00E74C12" w:rsidRPr="005361AD">
        <w:rPr>
          <w:rFonts w:ascii="Times New Roman" w:hAnsi="Times New Roman" w:cs="Times New Roman"/>
          <w:b/>
        </w:rPr>
        <w:t xml:space="preserve">Cases Admitting </w:t>
      </w:r>
      <w:r w:rsidR="00A41288" w:rsidRPr="005361AD">
        <w:rPr>
          <w:rFonts w:ascii="Times New Roman" w:hAnsi="Times New Roman" w:cs="Times New Roman"/>
          <w:b/>
        </w:rPr>
        <w:t xml:space="preserve">Subsequent </w:t>
      </w:r>
      <w:r w:rsidR="00E74C12" w:rsidRPr="005361AD">
        <w:rPr>
          <w:rFonts w:ascii="Times New Roman" w:hAnsi="Times New Roman" w:cs="Times New Roman"/>
          <w:b/>
        </w:rPr>
        <w:t>Comparable Sales</w:t>
      </w:r>
      <w:r w:rsidR="00A41288" w:rsidRPr="005361AD">
        <w:rPr>
          <w:rFonts w:ascii="Times New Roman" w:hAnsi="Times New Roman" w:cs="Times New Roman"/>
          <w:b/>
        </w:rPr>
        <w:t>– Per Se Rules Disfavored</w:t>
      </w:r>
    </w:p>
    <w:p w:rsidR="00A41288" w:rsidRDefault="00A41288" w:rsidP="00A41288">
      <w:pPr>
        <w:pStyle w:val="ListParagraph"/>
        <w:spacing w:after="0" w:line="240" w:lineRule="auto"/>
        <w:jc w:val="both"/>
        <w:rPr>
          <w:rFonts w:ascii="Times New Roman" w:hAnsi="Times New Roman" w:cs="Times New Roman"/>
          <w:b/>
          <w:sz w:val="24"/>
          <w:szCs w:val="24"/>
        </w:rPr>
      </w:pPr>
    </w:p>
    <w:p w:rsidR="006B3FCE" w:rsidRPr="006B3FCE" w:rsidRDefault="006B3FCE" w:rsidP="006B3FC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1440"/>
        <w:jc w:val="both"/>
        <w:rPr>
          <w:rFonts w:ascii="Times New Roman" w:hAnsi="Times New Roman" w:cs="Times New Roman"/>
          <w:b/>
          <w:bCs/>
        </w:rPr>
      </w:pPr>
      <w:r w:rsidRPr="00534155">
        <w:rPr>
          <w:rFonts w:ascii="Times New Roman" w:hAnsi="Times New Roman" w:cs="Times New Roman"/>
          <w:b/>
          <w:bCs/>
        </w:rPr>
        <w:t>1.</w:t>
      </w:r>
      <w:r w:rsidRPr="00534155">
        <w:rPr>
          <w:rFonts w:ascii="Times New Roman" w:hAnsi="Times New Roman" w:cs="Times New Roman"/>
          <w:b/>
          <w:bCs/>
        </w:rPr>
        <w:tab/>
        <w:t>Federal Courts</w:t>
      </w:r>
      <w:r w:rsidR="00DF2551">
        <w:rPr>
          <w:rFonts w:ascii="Times New Roman" w:hAnsi="Times New Roman" w:cs="Times New Roman"/>
          <w:b/>
          <w:bCs/>
        </w:rPr>
        <w:t xml:space="preserve"> Admitting</w:t>
      </w:r>
      <w:r w:rsidRPr="00534155">
        <w:rPr>
          <w:rFonts w:ascii="Times New Roman" w:hAnsi="Times New Roman" w:cs="Times New Roman"/>
          <w:b/>
          <w:bCs/>
        </w:rPr>
        <w:t xml:space="preserve"> </w:t>
      </w:r>
      <w:r>
        <w:rPr>
          <w:rFonts w:ascii="Times New Roman" w:hAnsi="Times New Roman" w:cs="Times New Roman"/>
          <w:b/>
          <w:bCs/>
        </w:rPr>
        <w:t>Post-Taking Sales Into Evidence</w:t>
      </w:r>
    </w:p>
    <w:p w:rsidR="00CB1D92" w:rsidRDefault="00DF2551" w:rsidP="005F5A79">
      <w:pPr>
        <w:spacing w:line="480" w:lineRule="auto"/>
        <w:ind w:firstLine="720"/>
        <w:jc w:val="both"/>
        <w:rPr>
          <w:rFonts w:ascii="Times New Roman" w:hAnsi="Times New Roman" w:cs="Times New Roman"/>
        </w:rPr>
      </w:pPr>
      <w:r>
        <w:rPr>
          <w:rFonts w:ascii="Times New Roman" w:hAnsi="Times New Roman" w:cs="Times New Roman"/>
        </w:rPr>
        <w:t xml:space="preserve">All federal courts </w:t>
      </w:r>
      <w:r w:rsidR="005F5A79">
        <w:rPr>
          <w:rFonts w:ascii="Times New Roman" w:hAnsi="Times New Roman" w:cs="Times New Roman"/>
        </w:rPr>
        <w:t xml:space="preserve">allow evidence of subsequent comparable sales. </w:t>
      </w:r>
      <w:r w:rsidR="008D1412" w:rsidRPr="00534155">
        <w:rPr>
          <w:rFonts w:ascii="Times New Roman" w:hAnsi="Times New Roman" w:cs="Times New Roman"/>
        </w:rPr>
        <w:t xml:space="preserve">The seminal decision on </w:t>
      </w:r>
      <w:r w:rsidR="005F5A79">
        <w:rPr>
          <w:rFonts w:ascii="Times New Roman" w:hAnsi="Times New Roman" w:cs="Times New Roman"/>
        </w:rPr>
        <w:t>the issue is</w:t>
      </w:r>
      <w:r w:rsidR="008D1412" w:rsidRPr="00534155">
        <w:rPr>
          <w:rFonts w:ascii="Times New Roman" w:hAnsi="Times New Roman" w:cs="Times New Roman"/>
        </w:rPr>
        <w:t xml:space="preserve"> </w:t>
      </w:r>
      <w:r w:rsidR="00E74C12" w:rsidRPr="00534155">
        <w:rPr>
          <w:rFonts w:ascii="Times New Roman" w:hAnsi="Times New Roman" w:cs="Times New Roman"/>
          <w:i/>
        </w:rPr>
        <w:t xml:space="preserve">United States v. </w:t>
      </w:r>
      <w:smartTag w:uri="urn:schemas-microsoft-com:office:smarttags" w:element="metricconverter">
        <w:smartTagPr>
          <w:attr w:name="ProductID" w:val="63.04 Acres"/>
        </w:smartTagPr>
        <w:r w:rsidR="00E74C12" w:rsidRPr="00534155">
          <w:rPr>
            <w:rFonts w:ascii="Times New Roman" w:hAnsi="Times New Roman" w:cs="Times New Roman"/>
            <w:i/>
          </w:rPr>
          <w:t>63.04 Acres</w:t>
        </w:r>
      </w:smartTag>
      <w:r w:rsidR="00E74C12" w:rsidRPr="00534155">
        <w:rPr>
          <w:rFonts w:ascii="Times New Roman" w:hAnsi="Times New Roman" w:cs="Times New Roman"/>
          <w:i/>
        </w:rPr>
        <w:t xml:space="preserve"> of Land</w:t>
      </w:r>
      <w:r w:rsidR="00E74C12" w:rsidRPr="00A41288">
        <w:rPr>
          <w:rStyle w:val="FootnoteReference"/>
          <w:rFonts w:ascii="Times New Roman" w:hAnsi="Times New Roman" w:cs="Times New Roman"/>
          <w:vertAlign w:val="superscript"/>
        </w:rPr>
        <w:footnoteReference w:id="26"/>
      </w:r>
      <w:r w:rsidR="00E74C12" w:rsidRPr="00534155">
        <w:rPr>
          <w:rFonts w:ascii="Times New Roman" w:hAnsi="Times New Roman" w:cs="Times New Roman"/>
          <w:i/>
        </w:rPr>
        <w:t xml:space="preserve">, </w:t>
      </w:r>
      <w:r w:rsidR="008D1412" w:rsidRPr="00534155">
        <w:rPr>
          <w:rFonts w:ascii="Times New Roman" w:hAnsi="Times New Roman" w:cs="Times New Roman"/>
        </w:rPr>
        <w:t xml:space="preserve">which </w:t>
      </w:r>
      <w:r w:rsidR="00E74C12" w:rsidRPr="00534155">
        <w:rPr>
          <w:rFonts w:ascii="Times New Roman" w:hAnsi="Times New Roman" w:cs="Times New Roman"/>
        </w:rPr>
        <w:t xml:space="preserve">the </w:t>
      </w:r>
      <w:r w:rsidR="00A41288">
        <w:rPr>
          <w:rFonts w:ascii="Times New Roman" w:hAnsi="Times New Roman" w:cs="Times New Roman"/>
        </w:rPr>
        <w:t xml:space="preserve">U.S. </w:t>
      </w:r>
      <w:r w:rsidR="00E74C12" w:rsidRPr="00534155">
        <w:rPr>
          <w:rFonts w:ascii="Times New Roman" w:hAnsi="Times New Roman" w:cs="Times New Roman"/>
        </w:rPr>
        <w:t xml:space="preserve">Second Circuit Court of Appeals </w:t>
      </w:r>
      <w:r w:rsidR="00BC0ED2">
        <w:rPr>
          <w:rFonts w:ascii="Times New Roman" w:hAnsi="Times New Roman" w:cs="Times New Roman"/>
        </w:rPr>
        <w:t xml:space="preserve">decided in 1957. </w:t>
      </w:r>
      <w:r w:rsidR="005F5A79">
        <w:rPr>
          <w:rFonts w:ascii="Times New Roman" w:hAnsi="Times New Roman" w:cs="Times New Roman"/>
        </w:rPr>
        <w:t>In</w:t>
      </w:r>
      <w:r w:rsidR="00E74C12" w:rsidRPr="00534155">
        <w:rPr>
          <w:rFonts w:ascii="Times New Roman" w:hAnsi="Times New Roman" w:cs="Times New Roman"/>
        </w:rPr>
        <w:t xml:space="preserve"> overturned the trial judge’s exclusion of a sale that occurred two months and 13 days afte</w:t>
      </w:r>
      <w:r w:rsidR="005F5A79">
        <w:rPr>
          <w:rFonts w:ascii="Times New Roman" w:hAnsi="Times New Roman" w:cs="Times New Roman"/>
        </w:rPr>
        <w:t xml:space="preserve">r the effective date of taking, the Court stated: </w:t>
      </w:r>
    </w:p>
    <w:p w:rsidR="00CB1D92" w:rsidRPr="00534155" w:rsidRDefault="00CB1D92" w:rsidP="00CB1D9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u w:val="single"/>
        </w:rPr>
      </w:pPr>
      <w:r w:rsidRPr="00534155">
        <w:rPr>
          <w:rFonts w:ascii="Times New Roman" w:hAnsi="Times New Roman" w:cs="Times New Roman"/>
          <w:i/>
          <w:iCs/>
        </w:rPr>
        <w:lastRenderedPageBreak/>
        <w:t xml:space="preserve">There is no absolute </w:t>
      </w:r>
      <w:r w:rsidR="00294955" w:rsidRPr="00534155">
        <w:rPr>
          <w:rFonts w:ascii="Times New Roman" w:hAnsi="Times New Roman" w:cs="Times New Roman"/>
          <w:i/>
          <w:iCs/>
        </w:rPr>
        <w:t>rule that</w:t>
      </w:r>
      <w:r w:rsidRPr="00534155">
        <w:rPr>
          <w:rFonts w:ascii="Times New Roman" w:hAnsi="Times New Roman" w:cs="Times New Roman"/>
          <w:i/>
          <w:iCs/>
        </w:rPr>
        <w:t xml:space="preserve"> precludes consideration of subsequent sales</w:t>
      </w:r>
      <w:r w:rsidRPr="00534155">
        <w:rPr>
          <w:rFonts w:ascii="Times New Roman" w:hAnsi="Times New Roman" w:cs="Times New Roman"/>
        </w:rPr>
        <w:t xml:space="preserve">. The general rule is that evidence of 'similar sales in the vicinity made at or about the same time' is to be the basis for the valuation and evidence of all such sales </w:t>
      </w:r>
      <w:r w:rsidR="005F5A79">
        <w:rPr>
          <w:rFonts w:ascii="Times New Roman" w:hAnsi="Times New Roman" w:cs="Times New Roman"/>
        </w:rPr>
        <w:t>should generally be admissible.</w:t>
      </w:r>
      <w:r w:rsidR="005F5A79" w:rsidRPr="005F5A79">
        <w:rPr>
          <w:rStyle w:val="FootnoteReference"/>
          <w:rFonts w:ascii="Times New Roman" w:hAnsi="Times New Roman" w:cs="Times New Roman"/>
          <w:vertAlign w:val="superscript"/>
        </w:rPr>
        <w:t xml:space="preserve"> </w:t>
      </w:r>
      <w:r w:rsidR="005F5A79" w:rsidRPr="00534155">
        <w:rPr>
          <w:rStyle w:val="FootnoteReference"/>
          <w:rFonts w:ascii="Times New Roman" w:hAnsi="Times New Roman" w:cs="Times New Roman"/>
          <w:vertAlign w:val="superscript"/>
        </w:rPr>
        <w:footnoteReference w:id="27"/>
      </w:r>
    </w:p>
    <w:p w:rsidR="00CB1D92" w:rsidRPr="00534155" w:rsidRDefault="00CB1D92" w:rsidP="00CB1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5F5A79" w:rsidRDefault="00CB1D92" w:rsidP="00CB1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The Court acknowledged, </w:t>
      </w:r>
      <w:r w:rsidR="005F5A79">
        <w:rPr>
          <w:rFonts w:ascii="Times New Roman" w:hAnsi="Times New Roman" w:cs="Times New Roman"/>
        </w:rPr>
        <w:t xml:space="preserve">that while the scope of the project rule limited this type of evidence, it was inappropriate to enforce a </w:t>
      </w:r>
      <w:r w:rsidR="005F5A79">
        <w:rPr>
          <w:rFonts w:ascii="Times New Roman" w:hAnsi="Times New Roman" w:cs="Times New Roman"/>
          <w:i/>
        </w:rPr>
        <w:t xml:space="preserve">per se </w:t>
      </w:r>
      <w:r w:rsidR="005F5A79">
        <w:rPr>
          <w:rFonts w:ascii="Times New Roman" w:hAnsi="Times New Roman" w:cs="Times New Roman"/>
        </w:rPr>
        <w:t>exclusion of all subsequent comparable sales.</w:t>
      </w:r>
    </w:p>
    <w:p w:rsidR="00CB1D92" w:rsidRPr="00534155" w:rsidRDefault="00CB1D92" w:rsidP="005F5A7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 xml:space="preserve">The generality of this rule [of the admissibility of post-taking sales] is limited, however, by the consideration that a condemnation itself may increase prices and the government should not have to pay for such artificially inflated values. </w:t>
      </w:r>
      <w:r w:rsidR="005F5A79">
        <w:rPr>
          <w:rFonts w:ascii="Times New Roman" w:hAnsi="Times New Roman" w:cs="Times New Roman"/>
        </w:rPr>
        <w:t xml:space="preserve">. . . </w:t>
      </w:r>
      <w:r w:rsidRPr="00534155">
        <w:rPr>
          <w:rFonts w:ascii="Times New Roman" w:hAnsi="Times New Roman" w:cs="Times New Roman"/>
          <w:i/>
          <w:iCs/>
        </w:rPr>
        <w:t>But that possibility does not produce a hard and fast exclusionary rule</w:t>
      </w:r>
      <w:r w:rsidRPr="00534155">
        <w:rPr>
          <w:rFonts w:ascii="Times New Roman" w:hAnsi="Times New Roman" w:cs="Times New Roman"/>
        </w:rPr>
        <w:t>. In every case it is a question of judgment as to the extent of this danger and, particularly where a judge is sitting without a jury, it would seem the better practice to admit the evidence and then to weigh it having due regard for the danger of artificial inflation.</w:t>
      </w:r>
      <w:r w:rsidRPr="00534155">
        <w:rPr>
          <w:rStyle w:val="FootnoteReference"/>
          <w:rFonts w:ascii="Times New Roman" w:hAnsi="Times New Roman" w:cs="Times New Roman"/>
          <w:vertAlign w:val="superscript"/>
        </w:rPr>
        <w:footnoteReference w:id="28"/>
      </w:r>
    </w:p>
    <w:p w:rsidR="00CB1D92" w:rsidRPr="00534155" w:rsidRDefault="00CB1D92" w:rsidP="00CB1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E74C12" w:rsidRPr="00D1596E" w:rsidRDefault="00CB1D92" w:rsidP="00C621A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vertAlign w:val="subscript"/>
        </w:rPr>
      </w:pPr>
      <w:r w:rsidRPr="00534155">
        <w:rPr>
          <w:rFonts w:ascii="Times New Roman" w:hAnsi="Times New Roman" w:cs="Times New Roman"/>
        </w:rPr>
        <w:t>Because of the importance of the comparable sale to the property in question, the Court reversed the decision of the trial court, and rem</w:t>
      </w:r>
      <w:r w:rsidR="00C621AA">
        <w:rPr>
          <w:rFonts w:ascii="Times New Roman" w:hAnsi="Times New Roman" w:cs="Times New Roman"/>
        </w:rPr>
        <w:t>anded the case for a new trial. In reality, the Court’s decision was a</w:t>
      </w:r>
      <w:r w:rsidR="00C621AA" w:rsidRPr="00534155">
        <w:rPr>
          <w:rFonts w:ascii="Times New Roman" w:hAnsi="Times New Roman" w:cs="Times New Roman"/>
        </w:rPr>
        <w:t xml:space="preserve"> textbook application of the USPAP principles discussed above, which recommend that data subsequent to the date of taking be compared with data at or before the date of </w:t>
      </w:r>
      <w:r w:rsidR="00294955" w:rsidRPr="00534155">
        <w:rPr>
          <w:rFonts w:ascii="Times New Roman" w:hAnsi="Times New Roman" w:cs="Times New Roman"/>
        </w:rPr>
        <w:t>ta</w:t>
      </w:r>
      <w:r w:rsidR="00294955">
        <w:rPr>
          <w:rFonts w:ascii="Times New Roman" w:hAnsi="Times New Roman" w:cs="Times New Roman"/>
        </w:rPr>
        <w:t>king.</w:t>
      </w:r>
      <w:r w:rsidR="00294955" w:rsidRPr="00534155">
        <w:rPr>
          <w:rFonts w:ascii="Times New Roman" w:hAnsi="Times New Roman" w:cs="Times New Roman"/>
        </w:rPr>
        <w:t xml:space="preserve"> A</w:t>
      </w:r>
      <w:r w:rsidR="00E74C12" w:rsidRPr="00534155">
        <w:rPr>
          <w:rFonts w:ascii="Times New Roman" w:hAnsi="Times New Roman" w:cs="Times New Roman"/>
        </w:rPr>
        <w:t xml:space="preserve"> zoning change prior to the taking had significantly impacted property values, which the post-taking comparable sale</w:t>
      </w:r>
      <w:r w:rsidR="00BC0ED2">
        <w:rPr>
          <w:rFonts w:ascii="Times New Roman" w:hAnsi="Times New Roman" w:cs="Times New Roman"/>
        </w:rPr>
        <w:t>s</w:t>
      </w:r>
      <w:r w:rsidR="00E74C12" w:rsidRPr="00534155">
        <w:rPr>
          <w:rFonts w:ascii="Times New Roman" w:hAnsi="Times New Roman" w:cs="Times New Roman"/>
        </w:rPr>
        <w:t xml:space="preserve"> demonstrated when coupled with pre-taking comparable sales that had occurr</w:t>
      </w:r>
      <w:r w:rsidR="00BC0ED2">
        <w:rPr>
          <w:rFonts w:ascii="Times New Roman" w:hAnsi="Times New Roman" w:cs="Times New Roman"/>
        </w:rPr>
        <w:t>e</w:t>
      </w:r>
      <w:r w:rsidR="00E74C12" w:rsidRPr="00534155">
        <w:rPr>
          <w:rFonts w:ascii="Times New Roman" w:hAnsi="Times New Roman" w:cs="Times New Roman"/>
        </w:rPr>
        <w:t>d before the rezoning.</w:t>
      </w:r>
      <w:r w:rsidR="00C621AA">
        <w:rPr>
          <w:rFonts w:ascii="Times New Roman" w:hAnsi="Times New Roman" w:cs="Times New Roman"/>
        </w:rPr>
        <w:t xml:space="preserve"> </w:t>
      </w:r>
      <w:r w:rsidR="00BC0ED2">
        <w:rPr>
          <w:rFonts w:ascii="Times New Roman" w:hAnsi="Times New Roman" w:cs="Times New Roman"/>
        </w:rPr>
        <w:t>The court elaborated,</w:t>
      </w:r>
      <w:r w:rsidR="00E74C12" w:rsidRPr="00534155">
        <w:rPr>
          <w:rFonts w:ascii="Times New Roman" w:hAnsi="Times New Roman" w:cs="Times New Roman"/>
        </w:rPr>
        <w:t xml:space="preserve"> “The general rule is that evidence of ‘similar sales in the vicinity made at or about the same time’ is to be the basis for the valuation and evidence of all such sales should generally be admissible.”</w:t>
      </w:r>
      <w:r w:rsidR="00E74C12" w:rsidRPr="00BC0ED2">
        <w:rPr>
          <w:rStyle w:val="FootnoteReference"/>
          <w:rFonts w:ascii="Times New Roman" w:hAnsi="Times New Roman" w:cs="Times New Roman"/>
          <w:vertAlign w:val="superscript"/>
        </w:rPr>
        <w:footnoteReference w:id="29"/>
      </w:r>
      <w:r w:rsidR="00E74C12" w:rsidRPr="00BC0ED2">
        <w:rPr>
          <w:rFonts w:ascii="Times New Roman" w:hAnsi="Times New Roman" w:cs="Times New Roman"/>
          <w:vertAlign w:val="superscript"/>
        </w:rPr>
        <w:t xml:space="preserve"> </w:t>
      </w:r>
      <w:r w:rsidR="00E74C12" w:rsidRPr="00534155">
        <w:rPr>
          <w:rFonts w:ascii="Times New Roman" w:hAnsi="Times New Roman" w:cs="Times New Roman"/>
        </w:rPr>
        <w:t>Of course, the “at or about the same time” is a limiting factor. The comparable sale here was about 2½ months subsequent to the date of taking—a short time frame.</w:t>
      </w:r>
      <w:r w:rsidR="00E22C0B" w:rsidRPr="00534155">
        <w:rPr>
          <w:rFonts w:ascii="Times New Roman" w:hAnsi="Times New Roman" w:cs="Times New Roman"/>
        </w:rPr>
        <w:t xml:space="preserve"> </w:t>
      </w:r>
    </w:p>
    <w:p w:rsidR="00E74C12" w:rsidRPr="00534155" w:rsidRDefault="00E74C12" w:rsidP="00BC0ED2">
      <w:pPr>
        <w:spacing w:line="480" w:lineRule="auto"/>
        <w:jc w:val="both"/>
        <w:rPr>
          <w:rFonts w:ascii="Times New Roman" w:hAnsi="Times New Roman" w:cs="Times New Roman"/>
        </w:rPr>
      </w:pPr>
      <w:r w:rsidRPr="00534155">
        <w:rPr>
          <w:rFonts w:ascii="Times New Roman" w:hAnsi="Times New Roman" w:cs="Times New Roman"/>
        </w:rPr>
        <w:tab/>
      </w:r>
      <w:r w:rsidR="00BC0ED2">
        <w:rPr>
          <w:rFonts w:ascii="Times New Roman" w:hAnsi="Times New Roman" w:cs="Times New Roman"/>
        </w:rPr>
        <w:t xml:space="preserve">Like the Second Circuit, other federal courts have shown </w:t>
      </w:r>
      <w:r w:rsidR="00BC0ED2" w:rsidRPr="00534155">
        <w:rPr>
          <w:rFonts w:ascii="Times New Roman" w:hAnsi="Times New Roman" w:cs="Times New Roman"/>
        </w:rPr>
        <w:t xml:space="preserve">a reluctance to adhere to hard and </w:t>
      </w:r>
      <w:r w:rsidR="00BC0ED2" w:rsidRPr="00534155">
        <w:rPr>
          <w:rFonts w:ascii="Times New Roman" w:hAnsi="Times New Roman" w:cs="Times New Roman"/>
        </w:rPr>
        <w:lastRenderedPageBreak/>
        <w:t xml:space="preserve">fast </w:t>
      </w:r>
      <w:r w:rsidR="00BC0ED2" w:rsidRPr="00534155">
        <w:rPr>
          <w:rFonts w:ascii="Times New Roman" w:hAnsi="Times New Roman" w:cs="Times New Roman"/>
          <w:i/>
        </w:rPr>
        <w:t xml:space="preserve">per se </w:t>
      </w:r>
      <w:r w:rsidR="00BC0ED2">
        <w:rPr>
          <w:rFonts w:ascii="Times New Roman" w:hAnsi="Times New Roman" w:cs="Times New Roman"/>
        </w:rPr>
        <w:t xml:space="preserve">rules. </w:t>
      </w:r>
      <w:r w:rsidRPr="00534155">
        <w:rPr>
          <w:rFonts w:ascii="Times New Roman" w:hAnsi="Times New Roman" w:cs="Times New Roman"/>
        </w:rPr>
        <w:t xml:space="preserve">In </w:t>
      </w:r>
      <w:r w:rsidRPr="00534155">
        <w:rPr>
          <w:rFonts w:ascii="Times New Roman" w:hAnsi="Times New Roman" w:cs="Times New Roman"/>
          <w:i/>
        </w:rPr>
        <w:t>United States v. 68.94 Acres of Land in Kent County</w:t>
      </w:r>
      <w:r w:rsidRPr="00534155">
        <w:rPr>
          <w:rStyle w:val="FootnoteReference"/>
          <w:rFonts w:ascii="Times New Roman" w:hAnsi="Times New Roman" w:cs="Times New Roman"/>
          <w:vertAlign w:val="superscript"/>
        </w:rPr>
        <w:footnoteReference w:id="30"/>
      </w:r>
      <w:r w:rsidRPr="00534155">
        <w:rPr>
          <w:rFonts w:ascii="Times New Roman" w:hAnsi="Times New Roman" w:cs="Times New Roman"/>
          <w:i/>
        </w:rPr>
        <w:t xml:space="preserve">, </w:t>
      </w:r>
      <w:r w:rsidRPr="00534155">
        <w:rPr>
          <w:rFonts w:ascii="Times New Roman" w:hAnsi="Times New Roman" w:cs="Times New Roman"/>
        </w:rPr>
        <w:t xml:space="preserve">The Third Circuit followed </w:t>
      </w:r>
      <w:r w:rsidRPr="00534155">
        <w:rPr>
          <w:rFonts w:ascii="Times New Roman" w:hAnsi="Times New Roman" w:cs="Times New Roman"/>
          <w:i/>
        </w:rPr>
        <w:t xml:space="preserve">63.04 Acres </w:t>
      </w:r>
      <w:r w:rsidRPr="00534155">
        <w:rPr>
          <w:rFonts w:ascii="Times New Roman" w:hAnsi="Times New Roman" w:cs="Times New Roman"/>
        </w:rPr>
        <w:t xml:space="preserve">when it reversed the trial court’s imposition of a </w:t>
      </w:r>
      <w:r w:rsidRPr="00534155">
        <w:rPr>
          <w:rFonts w:ascii="Times New Roman" w:hAnsi="Times New Roman" w:cs="Times New Roman"/>
          <w:i/>
        </w:rPr>
        <w:t xml:space="preserve">per se </w:t>
      </w:r>
      <w:r w:rsidRPr="00534155">
        <w:rPr>
          <w:rFonts w:ascii="Times New Roman" w:hAnsi="Times New Roman" w:cs="Times New Roman"/>
        </w:rPr>
        <w:t>rule that all subsequent comparable sales were inadmissible.</w:t>
      </w:r>
    </w:p>
    <w:p w:rsidR="00E74C12" w:rsidRPr="00534155" w:rsidRDefault="00E74C12" w:rsidP="00E74C12">
      <w:pPr>
        <w:ind w:left="720" w:right="720"/>
        <w:jc w:val="both"/>
        <w:rPr>
          <w:rFonts w:ascii="Times New Roman" w:hAnsi="Times New Roman" w:cs="Times New Roman"/>
        </w:rPr>
      </w:pPr>
      <w:r w:rsidRPr="00534155">
        <w:rPr>
          <w:rFonts w:ascii="Times New Roman" w:hAnsi="Times New Roman" w:cs="Times New Roman"/>
        </w:rPr>
        <w:t xml:space="preserve">The majority of circuit courts have rejected a </w:t>
      </w:r>
      <w:r w:rsidRPr="00534155">
        <w:rPr>
          <w:rFonts w:ascii="Times New Roman" w:hAnsi="Times New Roman" w:cs="Times New Roman"/>
          <w:i/>
          <w:iCs/>
        </w:rPr>
        <w:t>per se</w:t>
      </w:r>
      <w:r w:rsidRPr="00534155">
        <w:rPr>
          <w:rFonts w:ascii="Times New Roman" w:hAnsi="Times New Roman" w:cs="Times New Roman"/>
        </w:rPr>
        <w:t xml:space="preserve"> rule in eminent domain proceedings prohibiting the introduction of evidence of post-taking comparable sales. Thus, the district court must determine the comparability of post-taking sales in each case on a </w:t>
      </w:r>
      <w:r w:rsidR="00294955" w:rsidRPr="00534155">
        <w:rPr>
          <w:rFonts w:ascii="Times New Roman" w:hAnsi="Times New Roman" w:cs="Times New Roman"/>
        </w:rPr>
        <w:t>case-by-case</w:t>
      </w:r>
      <w:r w:rsidRPr="00534155">
        <w:rPr>
          <w:rFonts w:ascii="Times New Roman" w:hAnsi="Times New Roman" w:cs="Times New Roman"/>
        </w:rPr>
        <w:t xml:space="preserve"> basis. A blanket exclusion of post-taking comparable sales is appropriate only where there is some showing that the condemnation event itself has inflated the sale price of the comparable properties.</w:t>
      </w:r>
      <w:r w:rsidRPr="00BC0ED2">
        <w:rPr>
          <w:rStyle w:val="FootnoteReference"/>
          <w:rFonts w:ascii="Times New Roman" w:hAnsi="Times New Roman" w:cs="Times New Roman"/>
          <w:vertAlign w:val="superscript"/>
        </w:rPr>
        <w:footnoteReference w:id="31"/>
      </w:r>
      <w:r w:rsidRPr="00534155">
        <w:rPr>
          <w:rFonts w:ascii="Times New Roman" w:hAnsi="Times New Roman" w:cs="Times New Roman"/>
        </w:rPr>
        <w:t xml:space="preserve">  </w:t>
      </w:r>
    </w:p>
    <w:p w:rsidR="00E74C12" w:rsidRPr="00534155" w:rsidRDefault="00E74C12" w:rsidP="00E74C12">
      <w:pPr>
        <w:ind w:left="720" w:right="720"/>
        <w:jc w:val="both"/>
        <w:rPr>
          <w:rFonts w:ascii="Times New Roman" w:hAnsi="Times New Roman" w:cs="Times New Roman"/>
        </w:rPr>
      </w:pPr>
    </w:p>
    <w:p w:rsidR="00E74C12" w:rsidRPr="00534155" w:rsidRDefault="00C621AA" w:rsidP="00C621AA">
      <w:pPr>
        <w:spacing w:line="480" w:lineRule="auto"/>
        <w:jc w:val="both"/>
        <w:rPr>
          <w:rFonts w:ascii="Times New Roman" w:hAnsi="Times New Roman" w:cs="Times New Roman"/>
        </w:rPr>
      </w:pPr>
      <w:r>
        <w:rPr>
          <w:rFonts w:ascii="Times New Roman" w:hAnsi="Times New Roman" w:cs="Times New Roman"/>
        </w:rPr>
        <w:t>The land had been</w:t>
      </w:r>
      <w:r w:rsidR="00E74C12" w:rsidRPr="00534155">
        <w:rPr>
          <w:rFonts w:ascii="Times New Roman" w:hAnsi="Times New Roman" w:cs="Times New Roman"/>
        </w:rPr>
        <w:t xml:space="preserve"> condemned on April 3, 1987, and the owner sought to introduce comparable sales in 1988 and 19</w:t>
      </w:r>
      <w:r w:rsidR="008B3565">
        <w:rPr>
          <w:rFonts w:ascii="Times New Roman" w:hAnsi="Times New Roman" w:cs="Times New Roman"/>
        </w:rPr>
        <w:t>89. This is a much broader time</w:t>
      </w:r>
      <w:r w:rsidR="00E74C12" w:rsidRPr="00534155">
        <w:rPr>
          <w:rFonts w:ascii="Times New Roman" w:hAnsi="Times New Roman" w:cs="Times New Roman"/>
        </w:rPr>
        <w:t xml:space="preserve">frame than </w:t>
      </w:r>
      <w:r w:rsidR="00E74C12" w:rsidRPr="00534155">
        <w:rPr>
          <w:rFonts w:ascii="Times New Roman" w:hAnsi="Times New Roman" w:cs="Times New Roman"/>
          <w:i/>
        </w:rPr>
        <w:t xml:space="preserve">63.04 </w:t>
      </w:r>
      <w:r w:rsidR="00E74C12" w:rsidRPr="00534155">
        <w:rPr>
          <w:rFonts w:ascii="Times New Roman" w:hAnsi="Times New Roman" w:cs="Times New Roman"/>
        </w:rPr>
        <w:t xml:space="preserve">acres, </w:t>
      </w:r>
      <w:r w:rsidR="008B3565">
        <w:rPr>
          <w:rFonts w:ascii="Times New Roman" w:hAnsi="Times New Roman" w:cs="Times New Roman"/>
        </w:rPr>
        <w:t xml:space="preserve">which involved a gap of only 2½ </w:t>
      </w:r>
      <w:r w:rsidR="00E74C12" w:rsidRPr="00534155">
        <w:rPr>
          <w:rFonts w:ascii="Times New Roman" w:hAnsi="Times New Roman" w:cs="Times New Roman"/>
        </w:rPr>
        <w:t xml:space="preserve">months. </w:t>
      </w:r>
      <w:r w:rsidR="008B3565">
        <w:rPr>
          <w:rFonts w:ascii="Times New Roman" w:hAnsi="Times New Roman" w:cs="Times New Roman"/>
        </w:rPr>
        <w:t>Of course,</w:t>
      </w:r>
      <w:r w:rsidR="00E74C12" w:rsidRPr="00534155">
        <w:rPr>
          <w:rFonts w:ascii="Times New Roman" w:hAnsi="Times New Roman" w:cs="Times New Roman"/>
        </w:rPr>
        <w:t xml:space="preserve"> the Third Circuit </w:t>
      </w:r>
      <w:r w:rsidR="008B3565">
        <w:rPr>
          <w:rFonts w:ascii="Times New Roman" w:hAnsi="Times New Roman" w:cs="Times New Roman"/>
        </w:rPr>
        <w:t xml:space="preserve">did not sign off on such a long period between the date of taking and the comparable sales. </w:t>
      </w:r>
      <w:r w:rsidR="00294955">
        <w:rPr>
          <w:rFonts w:ascii="Times New Roman" w:hAnsi="Times New Roman" w:cs="Times New Roman"/>
        </w:rPr>
        <w:t xml:space="preserve">The court </w:t>
      </w:r>
      <w:r w:rsidR="00294955" w:rsidRPr="00534155">
        <w:rPr>
          <w:rFonts w:ascii="Times New Roman" w:hAnsi="Times New Roman" w:cs="Times New Roman"/>
        </w:rPr>
        <w:t xml:space="preserve">merely remanded to </w:t>
      </w:r>
      <w:r w:rsidR="00294955">
        <w:rPr>
          <w:rFonts w:ascii="Times New Roman" w:hAnsi="Times New Roman" w:cs="Times New Roman"/>
        </w:rPr>
        <w:t xml:space="preserve">the district court to </w:t>
      </w:r>
      <w:r w:rsidR="00294955" w:rsidRPr="00534155">
        <w:rPr>
          <w:rFonts w:ascii="Times New Roman" w:hAnsi="Times New Roman" w:cs="Times New Roman"/>
        </w:rPr>
        <w:t xml:space="preserve">determine admissibility under </w:t>
      </w:r>
      <w:r w:rsidR="00294955">
        <w:rPr>
          <w:rFonts w:ascii="Times New Roman" w:hAnsi="Times New Roman" w:cs="Times New Roman"/>
        </w:rPr>
        <w:t xml:space="preserve">a three-part test. </w:t>
      </w:r>
      <w:r w:rsidR="00294955" w:rsidRPr="00534155">
        <w:rPr>
          <w:rFonts w:ascii="Times New Roman" w:hAnsi="Times New Roman" w:cs="Times New Roman"/>
        </w:rPr>
        <w:t xml:space="preserve"> </w:t>
      </w:r>
    </w:p>
    <w:p w:rsidR="00E74C12" w:rsidRPr="00534155" w:rsidRDefault="00E74C12" w:rsidP="00E74C12">
      <w:pPr>
        <w:ind w:left="720" w:right="720"/>
        <w:jc w:val="both"/>
        <w:rPr>
          <w:rFonts w:ascii="Times New Roman" w:hAnsi="Times New Roman" w:cs="Times New Roman"/>
        </w:rPr>
      </w:pPr>
      <w:r w:rsidRPr="00534155">
        <w:rPr>
          <w:rFonts w:ascii="Times New Roman" w:hAnsi="Times New Roman" w:cs="Times New Roman"/>
        </w:rPr>
        <w:t>Where there is no evidence of inflated prices attributable to the taking event and thus no absolute exclusion of after-sales applies, the trial court must make separate findings of the comparability of each of the proffered comparable properties to the condemnee's property. Courts have generally recognized that comparability is a function of three variables: the respective character</w:t>
      </w:r>
      <w:r w:rsidR="008B3565">
        <w:rPr>
          <w:rFonts w:ascii="Times New Roman" w:hAnsi="Times New Roman" w:cs="Times New Roman"/>
        </w:rPr>
        <w:t>istics of the properties, their</w:t>
      </w:r>
      <w:r w:rsidR="00DF4D04">
        <w:rPr>
          <w:rFonts w:ascii="Times New Roman" w:hAnsi="Times New Roman" w:cs="Times New Roman"/>
        </w:rPr>
        <w:t xml:space="preserve"> </w:t>
      </w:r>
      <w:r w:rsidRPr="00534155">
        <w:rPr>
          <w:rFonts w:ascii="Times New Roman" w:hAnsi="Times New Roman" w:cs="Times New Roman"/>
        </w:rPr>
        <w:t xml:space="preserve">geographic proximity to each other, and the </w:t>
      </w:r>
      <w:r w:rsidR="008B3565">
        <w:rPr>
          <w:rFonts w:ascii="Times New Roman" w:hAnsi="Times New Roman" w:cs="Times New Roman"/>
        </w:rPr>
        <w:t>closeness in time of the sales.</w:t>
      </w:r>
      <w:r w:rsidRPr="008B3565">
        <w:rPr>
          <w:rStyle w:val="FootnoteReference"/>
          <w:rFonts w:ascii="Times New Roman" w:hAnsi="Times New Roman" w:cs="Times New Roman"/>
          <w:vertAlign w:val="superscript"/>
        </w:rPr>
        <w:footnoteReference w:id="32"/>
      </w:r>
      <w:r w:rsidRPr="008B3565">
        <w:rPr>
          <w:rFonts w:ascii="Times New Roman" w:hAnsi="Times New Roman" w:cs="Times New Roman"/>
          <w:vertAlign w:val="superscript"/>
        </w:rPr>
        <w:t xml:space="preserve"> </w:t>
      </w:r>
    </w:p>
    <w:p w:rsidR="00E74C12" w:rsidRPr="00534155" w:rsidRDefault="00E74C12" w:rsidP="00E74C12">
      <w:pPr>
        <w:ind w:left="720" w:right="720"/>
        <w:jc w:val="both"/>
        <w:rPr>
          <w:rFonts w:ascii="Times New Roman" w:hAnsi="Times New Roman" w:cs="Times New Roman"/>
        </w:rPr>
      </w:pPr>
    </w:p>
    <w:p w:rsidR="00232A10" w:rsidRPr="00534155" w:rsidRDefault="00C621AA" w:rsidP="00C621A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ab/>
        <w:t xml:space="preserve">The Eastern District of New York applied this </w:t>
      </w:r>
      <w:r w:rsidR="00232A10" w:rsidRPr="00534155">
        <w:rPr>
          <w:rFonts w:ascii="Times New Roman" w:hAnsi="Times New Roman" w:cs="Times New Roman"/>
        </w:rPr>
        <w:t xml:space="preserve">case-by-case method of determining the admissibility of post-taking comparable sales in </w:t>
      </w:r>
      <w:r>
        <w:rPr>
          <w:rFonts w:ascii="Times New Roman" w:hAnsi="Times New Roman" w:cs="Times New Roman"/>
          <w:i/>
          <w:iCs/>
        </w:rPr>
        <w:t>U.S. v. 7.14 Acres of Land</w:t>
      </w:r>
      <w:r w:rsidR="00232A10" w:rsidRPr="00534155">
        <w:rPr>
          <w:rStyle w:val="FootnoteReference"/>
          <w:rFonts w:ascii="Times New Roman" w:hAnsi="Times New Roman" w:cs="Times New Roman"/>
          <w:vertAlign w:val="superscript"/>
        </w:rPr>
        <w:footnoteReference w:id="33"/>
      </w:r>
      <w:r>
        <w:rPr>
          <w:rFonts w:ascii="Times New Roman" w:hAnsi="Times New Roman" w:cs="Times New Roman"/>
          <w:i/>
          <w:iCs/>
        </w:rPr>
        <w:t xml:space="preserve">, </w:t>
      </w:r>
      <w:r>
        <w:rPr>
          <w:rFonts w:ascii="Times New Roman" w:hAnsi="Times New Roman" w:cs="Times New Roman"/>
          <w:iCs/>
        </w:rPr>
        <w:t>where the court stated,</w:t>
      </w:r>
      <w:r w:rsidR="00232A10" w:rsidRPr="00534155">
        <w:rPr>
          <w:rFonts w:ascii="Times New Roman" w:hAnsi="Times New Roman" w:cs="Times New Roman"/>
        </w:rPr>
        <w:t xml:space="preserve">  </w:t>
      </w:r>
    </w:p>
    <w:p w:rsidR="00232A10" w:rsidRDefault="00232A10" w:rsidP="00232A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In deference to the decision in United States v. 63.04 Acres, Etc., 2 Cir., 245 F.2d 140, et seq., evidence was received of one or more sales that were negotiated and conclude</w:t>
      </w:r>
      <w:r w:rsidR="00CB1D92">
        <w:rPr>
          <w:rFonts w:ascii="Times New Roman" w:hAnsi="Times New Roman" w:cs="Times New Roman"/>
        </w:rPr>
        <w:t>d after the date of his taking.</w:t>
      </w:r>
      <w:r w:rsidRPr="00534155">
        <w:rPr>
          <w:rFonts w:ascii="Times New Roman" w:hAnsi="Times New Roman" w:cs="Times New Roman"/>
        </w:rPr>
        <w:t xml:space="preserve"> It is not understood that the Court in that case </w:t>
      </w:r>
      <w:r w:rsidRPr="00534155">
        <w:rPr>
          <w:rFonts w:ascii="Times New Roman" w:hAnsi="Times New Roman" w:cs="Times New Roman"/>
        </w:rPr>
        <w:lastRenderedPageBreak/>
        <w:t>went so far as to decide what such sales must be deemed to have demonstrated to the trier of the facts concerning fair market value as at the critical date.</w:t>
      </w:r>
      <w:r w:rsidRPr="00534155">
        <w:rPr>
          <w:rStyle w:val="FootnoteReference"/>
          <w:rFonts w:ascii="Times New Roman" w:hAnsi="Times New Roman" w:cs="Times New Roman"/>
          <w:vertAlign w:val="superscript"/>
        </w:rPr>
        <w:footnoteReference w:id="34"/>
      </w:r>
    </w:p>
    <w:p w:rsidR="00232A10" w:rsidRPr="00534155" w:rsidRDefault="00232A10" w:rsidP="00232A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p>
    <w:p w:rsidR="00232A10" w:rsidRDefault="00232A10" w:rsidP="00232A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sidRPr="00534155">
        <w:rPr>
          <w:rFonts w:ascii="Times New Roman" w:hAnsi="Times New Roman" w:cs="Times New Roman"/>
        </w:rPr>
        <w:t>Because the comparable properties being considered were not interior parcels like the property in question, the Court determined that “[t]he post-taking sales are therefore of no help in establishing the probable market value of the piece of property on [the date of taking].”</w:t>
      </w:r>
      <w:r w:rsidRPr="00534155">
        <w:rPr>
          <w:rStyle w:val="FootnoteReference"/>
          <w:rFonts w:ascii="Times New Roman" w:hAnsi="Times New Roman" w:cs="Times New Roman"/>
          <w:vertAlign w:val="superscript"/>
        </w:rPr>
        <w:footnoteReference w:id="35"/>
      </w:r>
      <w:r w:rsidR="00CB1D92">
        <w:rPr>
          <w:rFonts w:ascii="Times New Roman" w:hAnsi="Times New Roman" w:cs="Times New Roman"/>
        </w:rPr>
        <w:t xml:space="preserve"> </w:t>
      </w:r>
      <w:r w:rsidRPr="00534155">
        <w:rPr>
          <w:rFonts w:ascii="Times New Roman" w:hAnsi="Times New Roman" w:cs="Times New Roman"/>
        </w:rPr>
        <w:t xml:space="preserve">The Court thus found the post-taking comparable properties </w:t>
      </w:r>
      <w:r w:rsidR="00C621AA">
        <w:rPr>
          <w:rFonts w:ascii="Times New Roman" w:hAnsi="Times New Roman" w:cs="Times New Roman"/>
        </w:rPr>
        <w:t xml:space="preserve">were inadmissible, not </w:t>
      </w:r>
      <w:r w:rsidRPr="00534155">
        <w:rPr>
          <w:rFonts w:ascii="Times New Roman" w:hAnsi="Times New Roman" w:cs="Times New Roman"/>
        </w:rPr>
        <w:t xml:space="preserve">because they were sold after the date of the taking, but because they were not truly comparable to the </w:t>
      </w:r>
      <w:r w:rsidR="00C621AA">
        <w:rPr>
          <w:rFonts w:ascii="Times New Roman" w:hAnsi="Times New Roman" w:cs="Times New Roman"/>
        </w:rPr>
        <w:t>condemned property</w:t>
      </w:r>
      <w:r w:rsidR="00CB1D92">
        <w:rPr>
          <w:rFonts w:ascii="Times New Roman" w:hAnsi="Times New Roman" w:cs="Times New Roman"/>
        </w:rPr>
        <w:t xml:space="preserve">. </w:t>
      </w:r>
    </w:p>
    <w:p w:rsidR="00E74C12" w:rsidRPr="00534155" w:rsidRDefault="00E74C12" w:rsidP="00DF4D04">
      <w:pPr>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rPr>
        <w:t>United States v. 4.85 Acres of Land</w:t>
      </w:r>
      <w:r w:rsidRPr="00DF4D04">
        <w:rPr>
          <w:rStyle w:val="FootnoteReference"/>
          <w:rFonts w:ascii="Times New Roman" w:hAnsi="Times New Roman" w:cs="Times New Roman"/>
          <w:vertAlign w:val="superscript"/>
        </w:rPr>
        <w:footnoteReference w:id="36"/>
      </w:r>
      <w:r w:rsidRPr="00534155">
        <w:rPr>
          <w:rFonts w:ascii="Times New Roman" w:hAnsi="Times New Roman" w:cs="Times New Roman"/>
          <w:i/>
        </w:rPr>
        <w:t xml:space="preserve">, </w:t>
      </w:r>
      <w:r w:rsidRPr="00534155">
        <w:rPr>
          <w:rFonts w:ascii="Times New Roman" w:hAnsi="Times New Roman" w:cs="Times New Roman"/>
        </w:rPr>
        <w:t>the 9th Circuit reaffirmed that su</w:t>
      </w:r>
      <w:r w:rsidR="00DF4D04">
        <w:rPr>
          <w:rFonts w:ascii="Times New Roman" w:hAnsi="Times New Roman" w:cs="Times New Roman"/>
        </w:rPr>
        <w:t>bsequent comparable sales must be analy</w:t>
      </w:r>
      <w:r w:rsidRPr="00534155">
        <w:rPr>
          <w:rFonts w:ascii="Times New Roman" w:hAnsi="Times New Roman" w:cs="Times New Roman"/>
        </w:rPr>
        <w:t>zed on a</w:t>
      </w:r>
      <w:r w:rsidR="00DF4D04">
        <w:rPr>
          <w:rFonts w:ascii="Times New Roman" w:hAnsi="Times New Roman" w:cs="Times New Roman"/>
        </w:rPr>
        <w:t xml:space="preserve"> case-by-case basis, under three</w:t>
      </w:r>
      <w:r w:rsidRPr="00534155">
        <w:rPr>
          <w:rFonts w:ascii="Times New Roman" w:hAnsi="Times New Roman" w:cs="Times New Roman"/>
        </w:rPr>
        <w:t xml:space="preserve">-factor rubric of </w:t>
      </w:r>
      <w:r w:rsidR="00DF4D04">
        <w:rPr>
          <w:rFonts w:ascii="Times New Roman" w:hAnsi="Times New Roman" w:cs="Times New Roman"/>
        </w:rPr>
        <w:t>characteristics of the properties,</w:t>
      </w:r>
      <w:r w:rsidRPr="00534155">
        <w:rPr>
          <w:rFonts w:ascii="Times New Roman" w:hAnsi="Times New Roman" w:cs="Times New Roman"/>
        </w:rPr>
        <w:t xml:space="preserve"> proximity, and clos</w:t>
      </w:r>
      <w:r w:rsidR="00DF4D04">
        <w:rPr>
          <w:rFonts w:ascii="Times New Roman" w:hAnsi="Times New Roman" w:cs="Times New Roman"/>
        </w:rPr>
        <w:t>e</w:t>
      </w:r>
      <w:r w:rsidRPr="00534155">
        <w:rPr>
          <w:rFonts w:ascii="Times New Roman" w:hAnsi="Times New Roman" w:cs="Times New Roman"/>
        </w:rPr>
        <w:t>ness of time.</w:t>
      </w:r>
      <w:r w:rsidRPr="00232A10">
        <w:rPr>
          <w:rStyle w:val="FootnoteReference"/>
          <w:rFonts w:ascii="Times New Roman" w:hAnsi="Times New Roman" w:cs="Times New Roman"/>
          <w:vertAlign w:val="superscript"/>
        </w:rPr>
        <w:footnoteReference w:id="37"/>
      </w:r>
      <w:r w:rsidRPr="00232A10">
        <w:rPr>
          <w:rFonts w:ascii="Times New Roman" w:hAnsi="Times New Roman" w:cs="Times New Roman"/>
          <w:vertAlign w:val="superscript"/>
        </w:rPr>
        <w:t xml:space="preserve"> </w:t>
      </w:r>
      <w:r w:rsidRPr="00534155">
        <w:rPr>
          <w:rFonts w:ascii="Times New Roman" w:hAnsi="Times New Roman" w:cs="Times New Roman"/>
        </w:rPr>
        <w:t xml:space="preserve">The Court </w:t>
      </w:r>
      <w:r w:rsidR="00DF4D04">
        <w:rPr>
          <w:rFonts w:ascii="Times New Roman" w:hAnsi="Times New Roman" w:cs="Times New Roman"/>
        </w:rPr>
        <w:t>cautioned,</w:t>
      </w:r>
      <w:r w:rsidRPr="00534155">
        <w:rPr>
          <w:rFonts w:ascii="Times New Roman" w:hAnsi="Times New Roman" w:cs="Times New Roman"/>
        </w:rPr>
        <w:t xml:space="preserve"> “Courts should also be cognizant of the possibility that the condemnation itself has enhanced the value of the proffered comparable sales, as that facto</w:t>
      </w:r>
      <w:r w:rsidR="00F45DA1">
        <w:rPr>
          <w:rFonts w:ascii="Times New Roman" w:hAnsi="Times New Roman" w:cs="Times New Roman"/>
        </w:rPr>
        <w:t>r may weigh against admission.”</w:t>
      </w:r>
      <w:r w:rsidRPr="00F45DA1">
        <w:rPr>
          <w:rStyle w:val="FootnoteReference"/>
          <w:rFonts w:ascii="Times New Roman" w:hAnsi="Times New Roman" w:cs="Times New Roman"/>
          <w:vertAlign w:val="superscript"/>
        </w:rPr>
        <w:footnoteReference w:id="38"/>
      </w:r>
      <w:r w:rsidR="00F45DA1">
        <w:rPr>
          <w:rFonts w:ascii="Times New Roman" w:hAnsi="Times New Roman" w:cs="Times New Roman"/>
        </w:rPr>
        <w:t xml:space="preserve"> Further, “‘except in unusual instances,’</w:t>
      </w:r>
      <w:r w:rsidRPr="00534155">
        <w:rPr>
          <w:rFonts w:ascii="Times New Roman" w:hAnsi="Times New Roman" w:cs="Times New Roman"/>
        </w:rPr>
        <w:t xml:space="preserve"> differences in the location, characteristics, and timing of potential </w:t>
      </w:r>
      <w:r w:rsidR="00C621AA">
        <w:rPr>
          <w:rFonts w:ascii="Times New Roman" w:hAnsi="Times New Roman" w:cs="Times New Roman"/>
        </w:rPr>
        <w:t>comparable sales should “</w:t>
      </w:r>
      <w:r w:rsidRPr="00534155">
        <w:rPr>
          <w:rFonts w:ascii="Times New Roman" w:hAnsi="Times New Roman" w:cs="Times New Roman"/>
        </w:rPr>
        <w:t>go to the weight of the evidence rather t</w:t>
      </w:r>
      <w:r w:rsidR="00F45DA1">
        <w:rPr>
          <w:rFonts w:ascii="Times New Roman" w:hAnsi="Times New Roman" w:cs="Times New Roman"/>
        </w:rPr>
        <w:t>han . . . to the admissibility.”</w:t>
      </w:r>
      <w:r w:rsidRPr="001A088C">
        <w:rPr>
          <w:rStyle w:val="FootnoteReference"/>
          <w:rFonts w:ascii="Times New Roman" w:hAnsi="Times New Roman" w:cs="Times New Roman"/>
          <w:vertAlign w:val="superscript"/>
        </w:rPr>
        <w:footnoteReference w:id="39"/>
      </w:r>
    </w:p>
    <w:p w:rsidR="00E74C12" w:rsidRPr="00534155" w:rsidRDefault="00F45DA1" w:rsidP="00F45DA1">
      <w:pPr>
        <w:spacing w:line="480" w:lineRule="auto"/>
        <w:rPr>
          <w:rFonts w:ascii="Times New Roman" w:hAnsi="Times New Roman" w:cs="Times New Roman"/>
        </w:rPr>
      </w:pPr>
      <w:r>
        <w:rPr>
          <w:rFonts w:ascii="Times New Roman" w:hAnsi="Times New Roman" w:cs="Times New Roman"/>
        </w:rPr>
        <w:t>The 9th Circuit was similarly reluctant to set per se timeframes, remanding to the district court to consider sales that were 1¼, 1½, and 3½ years subsequent to the date of taking</w:t>
      </w:r>
      <w:r w:rsidR="00E74C12" w:rsidRPr="00534155">
        <w:rPr>
          <w:rFonts w:ascii="Times New Roman" w:hAnsi="Times New Roman" w:cs="Times New Roman"/>
        </w:rPr>
        <w:t>.</w:t>
      </w:r>
      <w:r w:rsidR="00E74C12" w:rsidRPr="001A088C">
        <w:rPr>
          <w:rStyle w:val="FootnoteReference"/>
          <w:rFonts w:ascii="Times New Roman" w:hAnsi="Times New Roman" w:cs="Times New Roman"/>
          <w:vertAlign w:val="superscript"/>
        </w:rPr>
        <w:footnoteReference w:id="40"/>
      </w:r>
    </w:p>
    <w:p w:rsidR="006B3FCE" w:rsidRPr="006B3FCE" w:rsidRDefault="00E74C12" w:rsidP="006B3FCE">
      <w:pPr>
        <w:spacing w:line="480" w:lineRule="auto"/>
        <w:ind w:firstLine="720"/>
        <w:jc w:val="both"/>
        <w:rPr>
          <w:rFonts w:ascii="Times New Roman" w:hAnsi="Times New Roman" w:cs="Times New Roman"/>
        </w:rPr>
      </w:pPr>
      <w:r w:rsidRPr="00534155">
        <w:rPr>
          <w:rFonts w:ascii="Times New Roman" w:hAnsi="Times New Roman" w:cs="Times New Roman"/>
        </w:rPr>
        <w:t xml:space="preserve">It appears nearly all federal circuits have adopted this </w:t>
      </w:r>
      <w:r w:rsidR="006B3FCE">
        <w:rPr>
          <w:rFonts w:ascii="Times New Roman" w:hAnsi="Times New Roman" w:cs="Times New Roman"/>
        </w:rPr>
        <w:t xml:space="preserve">three-factor </w:t>
      </w:r>
      <w:r w:rsidRPr="00534155">
        <w:rPr>
          <w:rFonts w:ascii="Times New Roman" w:hAnsi="Times New Roman" w:cs="Times New Roman"/>
        </w:rPr>
        <w:t>balancing test</w:t>
      </w:r>
      <w:r w:rsidR="006B3FCE">
        <w:rPr>
          <w:rFonts w:ascii="Times New Roman" w:hAnsi="Times New Roman" w:cs="Times New Roman"/>
        </w:rPr>
        <w:t>, or something approximating it</w:t>
      </w:r>
      <w:r w:rsidRPr="00534155">
        <w:rPr>
          <w:rFonts w:ascii="Times New Roman" w:hAnsi="Times New Roman" w:cs="Times New Roman"/>
        </w:rPr>
        <w:t>.</w:t>
      </w:r>
      <w:r w:rsidR="006B3FCE" w:rsidRPr="006B3FCE">
        <w:rPr>
          <w:rStyle w:val="FootnoteReference"/>
          <w:rFonts w:ascii="Times New Roman" w:hAnsi="Times New Roman" w:cs="Times New Roman"/>
          <w:vertAlign w:val="superscript"/>
        </w:rPr>
        <w:footnoteReference w:id="41"/>
      </w:r>
      <w:r w:rsidRPr="00534155">
        <w:rPr>
          <w:rFonts w:ascii="Times New Roman" w:hAnsi="Times New Roman" w:cs="Times New Roman"/>
        </w:rPr>
        <w:t xml:space="preserve"> </w:t>
      </w:r>
      <w:r w:rsidR="006B3FCE">
        <w:rPr>
          <w:rFonts w:ascii="Times New Roman" w:hAnsi="Times New Roman" w:cs="Times New Roman"/>
        </w:rPr>
        <w:t xml:space="preserve">There are no federal courts that have a </w:t>
      </w:r>
      <w:r w:rsidR="006B3FCE">
        <w:rPr>
          <w:rFonts w:ascii="Times New Roman" w:hAnsi="Times New Roman" w:cs="Times New Roman"/>
          <w:i/>
        </w:rPr>
        <w:t xml:space="preserve">per se </w:t>
      </w:r>
      <w:r w:rsidR="006B3FCE">
        <w:rPr>
          <w:rFonts w:ascii="Times New Roman" w:hAnsi="Times New Roman" w:cs="Times New Roman"/>
        </w:rPr>
        <w:t xml:space="preserve">prohibition on </w:t>
      </w:r>
      <w:r w:rsidR="006B3FCE">
        <w:rPr>
          <w:rFonts w:ascii="Times New Roman" w:hAnsi="Times New Roman" w:cs="Times New Roman"/>
        </w:rPr>
        <w:lastRenderedPageBreak/>
        <w:t>evidence of comparable sales subsequent to the date of taking. State courts, however, are mixed.</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1440"/>
        <w:jc w:val="both"/>
        <w:rPr>
          <w:rFonts w:ascii="Times New Roman" w:hAnsi="Times New Roman" w:cs="Times New Roman"/>
          <w:b/>
          <w:bCs/>
        </w:rPr>
      </w:pPr>
      <w:r w:rsidRPr="00534155">
        <w:rPr>
          <w:rFonts w:ascii="Times New Roman" w:hAnsi="Times New Roman" w:cs="Times New Roman"/>
          <w:b/>
          <w:bCs/>
        </w:rPr>
        <w:t>2.</w:t>
      </w:r>
      <w:r w:rsidRPr="00534155">
        <w:rPr>
          <w:rFonts w:ascii="Times New Roman" w:hAnsi="Times New Roman" w:cs="Times New Roman"/>
          <w:b/>
          <w:bCs/>
        </w:rPr>
        <w:tab/>
        <w:t>State Courts Permitting Post-Taking Sales Into Evidence</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Some state courts have also addressed the issue of post-taking sales, with most applying the case-by-case analysis method and ruling in favor of t</w:t>
      </w:r>
      <w:r w:rsidR="00410A03">
        <w:rPr>
          <w:rFonts w:ascii="Times New Roman" w:hAnsi="Times New Roman" w:cs="Times New Roman"/>
        </w:rPr>
        <w:t>he admissibility of such sales.</w:t>
      </w:r>
      <w:r w:rsidRPr="00534155">
        <w:rPr>
          <w:rFonts w:ascii="Times New Roman" w:hAnsi="Times New Roman" w:cs="Times New Roman"/>
        </w:rPr>
        <w:t xml:space="preserve"> These courts have found such evidence to be relevant to the determination of the value of the property at the time of the taking,</w:t>
      </w:r>
      <w:r w:rsidR="00410A03">
        <w:rPr>
          <w:rFonts w:ascii="Times New Roman" w:hAnsi="Times New Roman" w:cs="Times New Roman"/>
        </w:rPr>
        <w:t xml:space="preserve"> and thus admissible at trial. </w:t>
      </w:r>
      <w:r w:rsidRPr="00534155">
        <w:rPr>
          <w:rFonts w:ascii="Times New Roman" w:hAnsi="Times New Roman" w:cs="Times New Roman"/>
        </w:rPr>
        <w:t xml:space="preserve">The only remaining question, then, was whether </w:t>
      </w:r>
      <w:r w:rsidR="00C621AA">
        <w:rPr>
          <w:rFonts w:ascii="Times New Roman" w:hAnsi="Times New Roman" w:cs="Times New Roman"/>
        </w:rPr>
        <w:t>t</w:t>
      </w:r>
      <w:r w:rsidRPr="00534155">
        <w:rPr>
          <w:rFonts w:ascii="Times New Roman" w:hAnsi="Times New Roman" w:cs="Times New Roman"/>
        </w:rPr>
        <w:t xml:space="preserve">he proposed comparable sales were similar enough to the condemned property to pass the balancing tests of the Rules of Evidence, such as </w:t>
      </w:r>
      <w:r w:rsidR="00410A03">
        <w:rPr>
          <w:rFonts w:ascii="Times New Roman" w:hAnsi="Times New Roman" w:cs="Times New Roman"/>
        </w:rPr>
        <w:t xml:space="preserve">Federal </w:t>
      </w:r>
      <w:r w:rsidRPr="00534155">
        <w:rPr>
          <w:rFonts w:ascii="Times New Roman" w:hAnsi="Times New Roman" w:cs="Times New Roman"/>
        </w:rPr>
        <w:t xml:space="preserve">Rule </w:t>
      </w:r>
      <w:r w:rsidR="00410A03">
        <w:rPr>
          <w:rFonts w:ascii="Times New Roman" w:hAnsi="Times New Roman" w:cs="Times New Roman"/>
        </w:rPr>
        <w:t xml:space="preserve">of Evidence </w:t>
      </w:r>
      <w:r w:rsidRPr="00534155">
        <w:rPr>
          <w:rFonts w:ascii="Times New Roman" w:hAnsi="Times New Roman" w:cs="Times New Roman"/>
        </w:rPr>
        <w:t>403</w:t>
      </w:r>
      <w:r w:rsidR="00410A03">
        <w:rPr>
          <w:rFonts w:ascii="Times New Roman" w:hAnsi="Times New Roman" w:cs="Times New Roman"/>
        </w:rPr>
        <w:t xml:space="preserve"> and its state analogues</w:t>
      </w:r>
      <w:r w:rsidRPr="00534155">
        <w:rPr>
          <w:rFonts w:ascii="Times New Roman" w:hAnsi="Times New Roman" w:cs="Times New Roman"/>
        </w:rPr>
        <w:t>.</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jc w:val="both"/>
        <w:rPr>
          <w:rFonts w:ascii="Times New Roman" w:hAnsi="Times New Roman" w:cs="Times New Roman"/>
          <w:b/>
          <w:bCs/>
        </w:rPr>
      </w:pPr>
      <w:r w:rsidRPr="00534155">
        <w:rPr>
          <w:rFonts w:ascii="Times New Roman" w:hAnsi="Times New Roman" w:cs="Times New Roman"/>
          <w:b/>
          <w:bCs/>
        </w:rPr>
        <w:t>a.</w:t>
      </w:r>
      <w:r w:rsidRPr="00534155">
        <w:rPr>
          <w:rFonts w:ascii="Times New Roman" w:hAnsi="Times New Roman" w:cs="Times New Roman"/>
          <w:b/>
          <w:bCs/>
        </w:rPr>
        <w:tab/>
        <w:t>Massachusetts</w:t>
      </w:r>
    </w:p>
    <w:p w:rsidR="00CB398A" w:rsidRPr="00534155" w:rsidRDefault="001C6202" w:rsidP="00CB3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One of the earliest cases to consider the issue was </w:t>
      </w:r>
      <w:r w:rsidRPr="00534155">
        <w:rPr>
          <w:rFonts w:ascii="Times New Roman" w:hAnsi="Times New Roman" w:cs="Times New Roman"/>
          <w:i/>
          <w:iCs/>
        </w:rPr>
        <w:t>Roberts v. City of Boston</w:t>
      </w:r>
      <w:r w:rsidRPr="00534155">
        <w:rPr>
          <w:rStyle w:val="FootnoteReference"/>
          <w:rFonts w:ascii="Times New Roman" w:hAnsi="Times New Roman" w:cs="Times New Roman"/>
          <w:vertAlign w:val="superscript"/>
        </w:rPr>
        <w:footnoteReference w:id="42"/>
      </w:r>
      <w:r w:rsidRPr="00534155">
        <w:rPr>
          <w:rFonts w:ascii="Times New Roman" w:hAnsi="Times New Roman" w:cs="Times New Roman"/>
        </w:rPr>
        <w:t xml:space="preserve">, in which the Supreme Judicial Court of Massachusetts held that the post-taking sales of two estates </w:t>
      </w:r>
      <w:r w:rsidR="00104E3B">
        <w:rPr>
          <w:rFonts w:ascii="Times New Roman" w:hAnsi="Times New Roman" w:cs="Times New Roman"/>
        </w:rPr>
        <w:t xml:space="preserve">were admissible. </w:t>
      </w:r>
      <w:r w:rsidR="00CB398A">
        <w:rPr>
          <w:rFonts w:ascii="Times New Roman" w:hAnsi="Times New Roman" w:cs="Times New Roman"/>
        </w:rPr>
        <w:t>Although both properties were</w:t>
      </w:r>
      <w:r w:rsidRPr="00534155">
        <w:rPr>
          <w:rFonts w:ascii="Times New Roman" w:hAnsi="Times New Roman" w:cs="Times New Roman"/>
        </w:rPr>
        <w:t xml:space="preserve"> sold after the date </w:t>
      </w:r>
      <w:r w:rsidR="00CB398A">
        <w:rPr>
          <w:rFonts w:ascii="Times New Roman" w:hAnsi="Times New Roman" w:cs="Times New Roman"/>
        </w:rPr>
        <w:t>of taking, the court stated,</w:t>
      </w:r>
    </w:p>
    <w:p w:rsidR="001C6202" w:rsidRDefault="001C6202" w:rsidP="00410A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The lands sold were near to that of the petitioner, and similar to it, and similarly situated. One sale was about five months, and the other more than twenty months, after the taking of the petitioner's land. </w:t>
      </w:r>
      <w:r w:rsidRPr="00534155">
        <w:rPr>
          <w:rFonts w:ascii="Times New Roman" w:hAnsi="Times New Roman" w:cs="Times New Roman"/>
          <w:i/>
          <w:iCs/>
        </w:rPr>
        <w:t>The mere lapse of time after the taking did not render the evidence of the sales incompetent, and, as the circumstances appear in the evidence, the discretion of the court seems to have been rightly exercised in admitting the evidence</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43"/>
      </w:r>
    </w:p>
    <w:p w:rsidR="00C621AA" w:rsidRDefault="00C621AA" w:rsidP="00410A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p>
    <w:p w:rsidR="001C6202" w:rsidRPr="00534155" w:rsidRDefault="00C621AA" w:rsidP="00C621A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b/>
          <w:bCs/>
        </w:rPr>
      </w:pPr>
      <w:r w:rsidRPr="00534155">
        <w:rPr>
          <w:rFonts w:ascii="Times New Roman" w:hAnsi="Times New Roman" w:cs="Times New Roman"/>
        </w:rPr>
        <w:t xml:space="preserve">Because of its express recognition of the admissibility of post-takings sales, other state </w:t>
      </w:r>
      <w:r w:rsidR="00294955" w:rsidRPr="00534155">
        <w:rPr>
          <w:rFonts w:ascii="Times New Roman" w:hAnsi="Times New Roman" w:cs="Times New Roman"/>
        </w:rPr>
        <w:t xml:space="preserve">courts </w:t>
      </w:r>
      <w:r w:rsidR="00294955">
        <w:rPr>
          <w:rFonts w:ascii="Times New Roman" w:hAnsi="Times New Roman" w:cs="Times New Roman"/>
        </w:rPr>
        <w:t>have</w:t>
      </w:r>
      <w:r>
        <w:rPr>
          <w:rFonts w:ascii="Times New Roman" w:hAnsi="Times New Roman" w:cs="Times New Roman"/>
        </w:rPr>
        <w:t xml:space="preserve"> followed and cited </w:t>
      </w:r>
      <w:r w:rsidRPr="00534155">
        <w:rPr>
          <w:rFonts w:ascii="Times New Roman" w:hAnsi="Times New Roman" w:cs="Times New Roman"/>
        </w:rPr>
        <w:t xml:space="preserve">the </w:t>
      </w:r>
      <w:r w:rsidRPr="00534155">
        <w:rPr>
          <w:rFonts w:ascii="Times New Roman" w:hAnsi="Times New Roman" w:cs="Times New Roman"/>
          <w:i/>
          <w:iCs/>
        </w:rPr>
        <w:t>Roberts</w:t>
      </w:r>
      <w:r>
        <w:rPr>
          <w:rFonts w:ascii="Times New Roman" w:hAnsi="Times New Roman" w:cs="Times New Roman"/>
        </w:rPr>
        <w:t xml:space="preserve"> opinion</w:t>
      </w:r>
      <w:r w:rsidRPr="00534155">
        <w:rPr>
          <w:rFonts w:ascii="Times New Roman" w:hAnsi="Times New Roman" w:cs="Times New Roman"/>
        </w:rPr>
        <w:t xml:space="preserve"> when addressing the issue.  </w:t>
      </w:r>
    </w:p>
    <w:p w:rsidR="00EE0FF3" w:rsidRDefault="00EE0FF3">
      <w:pPr>
        <w:widowControl/>
        <w:autoSpaceDE/>
        <w:autoSpaceDN/>
        <w:adjustRightInd/>
        <w:spacing w:after="200" w:line="276" w:lineRule="auto"/>
        <w:rPr>
          <w:rFonts w:ascii="Times New Roman" w:hAnsi="Times New Roman" w:cs="Times New Roman"/>
          <w:b/>
          <w:bCs/>
        </w:rPr>
      </w:pPr>
      <w:r>
        <w:rPr>
          <w:rFonts w:ascii="Times New Roman" w:hAnsi="Times New Roman" w:cs="Times New Roman"/>
          <w:b/>
          <w:bCs/>
        </w:rPr>
        <w:br w:type="page"/>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jc w:val="both"/>
        <w:rPr>
          <w:rFonts w:ascii="Times New Roman" w:hAnsi="Times New Roman" w:cs="Times New Roman"/>
          <w:b/>
          <w:bCs/>
        </w:rPr>
      </w:pPr>
      <w:r w:rsidRPr="00534155">
        <w:rPr>
          <w:rFonts w:ascii="Times New Roman" w:hAnsi="Times New Roman" w:cs="Times New Roman"/>
          <w:b/>
          <w:bCs/>
        </w:rPr>
        <w:lastRenderedPageBreak/>
        <w:t>b.</w:t>
      </w:r>
      <w:r w:rsidRPr="00534155">
        <w:rPr>
          <w:rFonts w:ascii="Times New Roman" w:hAnsi="Times New Roman" w:cs="Times New Roman"/>
          <w:b/>
          <w:bCs/>
        </w:rPr>
        <w:tab/>
        <w:t>Wyoming</w:t>
      </w:r>
    </w:p>
    <w:p w:rsidR="001C6202" w:rsidRPr="00534155" w:rsidRDefault="00C621AA"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Pr>
          <w:rFonts w:ascii="Times New Roman" w:hAnsi="Times New Roman" w:cs="Times New Roman"/>
        </w:rPr>
        <w:t>In</w:t>
      </w:r>
      <w:r w:rsidR="001C6202" w:rsidRPr="00534155">
        <w:rPr>
          <w:rFonts w:ascii="Times New Roman" w:hAnsi="Times New Roman" w:cs="Times New Roman"/>
        </w:rPr>
        <w:t xml:space="preserve"> refusing to grant error for the admission of a post-taking sale, the Wyoming Supreme Court in </w:t>
      </w:r>
      <w:r w:rsidR="001C6202" w:rsidRPr="00534155">
        <w:rPr>
          <w:rFonts w:ascii="Times New Roman" w:hAnsi="Times New Roman" w:cs="Times New Roman"/>
          <w:i/>
          <w:iCs/>
        </w:rPr>
        <w:t>Morrison v. Cottonwood Dev. Co.</w:t>
      </w:r>
      <w:r w:rsidR="001C6202" w:rsidRPr="009966B2">
        <w:rPr>
          <w:rStyle w:val="FootnoteReference"/>
          <w:rFonts w:ascii="Times New Roman" w:hAnsi="Times New Roman" w:cs="Times New Roman"/>
          <w:iCs/>
          <w:vertAlign w:val="superscript"/>
        </w:rPr>
        <w:footnoteReference w:id="44"/>
      </w:r>
      <w:r w:rsidR="001C6202" w:rsidRPr="00534155">
        <w:rPr>
          <w:rFonts w:ascii="Times New Roman" w:hAnsi="Times New Roman" w:cs="Times New Roman"/>
          <w:i/>
          <w:iCs/>
        </w:rPr>
        <w:t xml:space="preserve"> </w:t>
      </w:r>
      <w:r w:rsidR="001C6202" w:rsidRPr="00534155">
        <w:rPr>
          <w:rFonts w:ascii="Times New Roman" w:hAnsi="Times New Roman" w:cs="Times New Roman"/>
        </w:rPr>
        <w:t xml:space="preserve">cited </w:t>
      </w:r>
      <w:r w:rsidR="001C6202" w:rsidRPr="00534155">
        <w:rPr>
          <w:rFonts w:ascii="Times New Roman" w:hAnsi="Times New Roman" w:cs="Times New Roman"/>
          <w:i/>
          <w:iCs/>
        </w:rPr>
        <w:t>Roberts</w:t>
      </w:r>
      <w:r w:rsidR="009966B2">
        <w:rPr>
          <w:rFonts w:ascii="Times New Roman" w:hAnsi="Times New Roman" w:cs="Times New Roman"/>
        </w:rPr>
        <w:t xml:space="preserve"> approvingly. </w:t>
      </w:r>
      <w:r w:rsidR="001C6202" w:rsidRPr="00534155">
        <w:rPr>
          <w:rFonts w:ascii="Times New Roman" w:hAnsi="Times New Roman" w:cs="Times New Roman"/>
        </w:rPr>
        <w:t xml:space="preserve">In </w:t>
      </w:r>
      <w:r w:rsidR="001C6202" w:rsidRPr="00534155">
        <w:rPr>
          <w:rFonts w:ascii="Times New Roman" w:hAnsi="Times New Roman" w:cs="Times New Roman"/>
          <w:i/>
          <w:iCs/>
        </w:rPr>
        <w:t>Morrison</w:t>
      </w:r>
      <w:r w:rsidR="001C6202" w:rsidRPr="00534155">
        <w:rPr>
          <w:rFonts w:ascii="Times New Roman" w:hAnsi="Times New Roman" w:cs="Times New Roman"/>
        </w:rPr>
        <w:t xml:space="preserve">, the Court affirmed the trial court’s decision to admit evidence of a comparable sale occurring a year after the taking, finding the sale to be </w:t>
      </w:r>
      <w:r w:rsidR="009966B2">
        <w:rPr>
          <w:rFonts w:ascii="Times New Roman" w:hAnsi="Times New Roman" w:cs="Times New Roman"/>
        </w:rPr>
        <w:t xml:space="preserve">voluntary, </w:t>
      </w:r>
      <w:r w:rsidR="001C6202" w:rsidRPr="00534155">
        <w:rPr>
          <w:rFonts w:ascii="Times New Roman" w:hAnsi="Times New Roman" w:cs="Times New Roman"/>
        </w:rPr>
        <w:t xml:space="preserve">in an area </w:t>
      </w:r>
      <w:r w:rsidR="009966B2">
        <w:rPr>
          <w:rFonts w:ascii="Times New Roman" w:hAnsi="Times New Roman" w:cs="Times New Roman"/>
        </w:rPr>
        <w:t>where</w:t>
      </w:r>
      <w:r w:rsidR="001C6202" w:rsidRPr="00534155">
        <w:rPr>
          <w:rFonts w:ascii="Times New Roman" w:hAnsi="Times New Roman" w:cs="Times New Roman"/>
        </w:rPr>
        <w:t xml:space="preserve"> land values had not changed significantly either before or after the time of the taking.</w:t>
      </w:r>
      <w:r w:rsidR="001C6202" w:rsidRPr="00534155">
        <w:rPr>
          <w:rStyle w:val="FootnoteReference"/>
          <w:rFonts w:ascii="Times New Roman" w:hAnsi="Times New Roman" w:cs="Times New Roman"/>
          <w:vertAlign w:val="superscript"/>
        </w:rPr>
        <w:footnoteReference w:id="45"/>
      </w:r>
    </w:p>
    <w:p w:rsidR="001C6202" w:rsidRPr="00534155" w:rsidRDefault="00CB398A" w:rsidP="005146CF">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c.</w:t>
      </w:r>
      <w:r w:rsidR="001C6202" w:rsidRPr="00534155">
        <w:rPr>
          <w:rFonts w:ascii="Times New Roman" w:hAnsi="Times New Roman" w:cs="Times New Roman"/>
          <w:b/>
          <w:bCs/>
        </w:rPr>
        <w:tab/>
        <w:t>Illinois</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Forest Preserve District v. Kean</w:t>
      </w:r>
      <w:r w:rsidRPr="00534155">
        <w:rPr>
          <w:rStyle w:val="FootnoteReference"/>
          <w:rFonts w:ascii="Times New Roman" w:hAnsi="Times New Roman" w:cs="Times New Roman"/>
          <w:vertAlign w:val="superscript"/>
        </w:rPr>
        <w:footnoteReference w:id="46"/>
      </w:r>
      <w:r w:rsidR="009F623D">
        <w:rPr>
          <w:rFonts w:ascii="Times New Roman" w:hAnsi="Times New Roman" w:cs="Times New Roman"/>
          <w:i/>
          <w:iCs/>
        </w:rPr>
        <w:t>,</w:t>
      </w:r>
      <w:r w:rsidRPr="00534155">
        <w:rPr>
          <w:rFonts w:ascii="Times New Roman" w:hAnsi="Times New Roman" w:cs="Times New Roman"/>
        </w:rPr>
        <w:t xml:space="preserve"> the Illinois Supreme Court had the opportunity to address the post-taking sal</w:t>
      </w:r>
      <w:r w:rsidR="009966B2">
        <w:rPr>
          <w:rFonts w:ascii="Times New Roman" w:hAnsi="Times New Roman" w:cs="Times New Roman"/>
        </w:rPr>
        <w:t>es issue. Looking to precedent, the court noted, “E</w:t>
      </w:r>
      <w:r w:rsidRPr="00534155">
        <w:rPr>
          <w:rFonts w:ascii="Times New Roman" w:hAnsi="Times New Roman" w:cs="Times New Roman"/>
        </w:rPr>
        <w:t>vidence of voluntary sales of lands in the locality similar in character is admissible in determining the value of the land sought to be condemned.”</w:t>
      </w:r>
      <w:r w:rsidRPr="00534155">
        <w:rPr>
          <w:rStyle w:val="FootnoteReference"/>
          <w:rFonts w:ascii="Times New Roman" w:hAnsi="Times New Roman" w:cs="Times New Roman"/>
          <w:vertAlign w:val="superscript"/>
        </w:rPr>
        <w:footnoteReference w:id="47"/>
      </w:r>
      <w:r w:rsidR="009966B2">
        <w:rPr>
          <w:rFonts w:ascii="Times New Roman" w:hAnsi="Times New Roman" w:cs="Times New Roman"/>
        </w:rPr>
        <w:t xml:space="preserve"> The c</w:t>
      </w:r>
      <w:r w:rsidR="009F623D">
        <w:rPr>
          <w:rFonts w:ascii="Times New Roman" w:hAnsi="Times New Roman" w:cs="Times New Roman"/>
        </w:rPr>
        <w:t>ourt also looked to Massachusetts precedent for its finding that,</w:t>
      </w:r>
    </w:p>
    <w:p w:rsidR="001C6202" w:rsidRPr="00534155" w:rsidRDefault="001C6202" w:rsidP="009966B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Whether the sales were of lands in the locality and </w:t>
      </w:r>
      <w:proofErr w:type="gramStart"/>
      <w:r w:rsidRPr="00534155">
        <w:rPr>
          <w:rFonts w:ascii="Times New Roman" w:hAnsi="Times New Roman" w:cs="Times New Roman"/>
        </w:rPr>
        <w:t>so</w:t>
      </w:r>
      <w:proofErr w:type="gramEnd"/>
      <w:r w:rsidRPr="00534155">
        <w:rPr>
          <w:rFonts w:ascii="Times New Roman" w:hAnsi="Times New Roman" w:cs="Times New Roman"/>
        </w:rPr>
        <w:t xml:space="preserve"> similar in character as to make such evidence competent is a question largely within the discretion of the trial court. But such discretion is not unlimited. If the court can see that evidence of such sales would not afford any just measure of value of the land t</w:t>
      </w:r>
      <w:r w:rsidR="009966B2">
        <w:rPr>
          <w:rFonts w:ascii="Times New Roman" w:hAnsi="Times New Roman" w:cs="Times New Roman"/>
        </w:rPr>
        <w:t>aken it should not be admitted.</w:t>
      </w:r>
      <w:r w:rsidRPr="00534155">
        <w:rPr>
          <w:rStyle w:val="FootnoteReference"/>
          <w:rFonts w:ascii="Times New Roman" w:hAnsi="Times New Roman" w:cs="Times New Roman"/>
          <w:vertAlign w:val="superscript"/>
        </w:rPr>
        <w:footnoteReference w:id="48"/>
      </w:r>
    </w:p>
    <w:p w:rsidR="001C6202" w:rsidRPr="00534155" w:rsidRDefault="001C6202"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9966B2" w:rsidRDefault="009966B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Pr>
          <w:rFonts w:ascii="Times New Roman" w:hAnsi="Times New Roman" w:cs="Times New Roman"/>
        </w:rPr>
        <w:t>Further, the co</w:t>
      </w:r>
      <w:r w:rsidR="001C6202" w:rsidRPr="00534155">
        <w:rPr>
          <w:rFonts w:ascii="Times New Roman" w:hAnsi="Times New Roman" w:cs="Times New Roman"/>
        </w:rPr>
        <w:t xml:space="preserve">urt noted in </w:t>
      </w:r>
      <w:r w:rsidR="001C6202" w:rsidRPr="00534155">
        <w:rPr>
          <w:rStyle w:val="Hyperlink6"/>
          <w:rFonts w:ascii="Times New Roman" w:hAnsi="Times New Roman" w:cs="Times New Roman"/>
          <w:i/>
          <w:iCs/>
          <w:sz w:val="24"/>
          <w:szCs w:val="24"/>
          <w:u w:val="none"/>
        </w:rPr>
        <w:t xml:space="preserve">Forest Preserve District </w:t>
      </w:r>
      <w:r w:rsidR="001C6202" w:rsidRPr="00534155">
        <w:rPr>
          <w:rStyle w:val="Hyperlink6"/>
          <w:rFonts w:ascii="Times New Roman" w:hAnsi="Times New Roman" w:cs="Times New Roman"/>
          <w:sz w:val="24"/>
          <w:szCs w:val="24"/>
          <w:u w:val="none"/>
        </w:rPr>
        <w:t>v.</w:t>
      </w:r>
      <w:r w:rsidR="001C6202" w:rsidRPr="00534155">
        <w:rPr>
          <w:rStyle w:val="Hyperlink6"/>
          <w:rFonts w:ascii="Times New Roman" w:hAnsi="Times New Roman" w:cs="Times New Roman"/>
          <w:i/>
          <w:iCs/>
          <w:sz w:val="24"/>
          <w:szCs w:val="24"/>
          <w:u w:val="none"/>
        </w:rPr>
        <w:t xml:space="preserve"> Barchard</w:t>
      </w:r>
      <w:r w:rsidR="001C6202" w:rsidRPr="00534155">
        <w:rPr>
          <w:rStyle w:val="FootnoteReference"/>
          <w:rFonts w:ascii="Times New Roman" w:hAnsi="Times New Roman" w:cs="Times New Roman"/>
          <w:vertAlign w:val="superscript"/>
        </w:rPr>
        <w:footnoteReference w:id="49"/>
      </w:r>
      <w:r w:rsidR="009F623D">
        <w:rPr>
          <w:rStyle w:val="Hyperlink6"/>
          <w:rFonts w:ascii="Times New Roman" w:hAnsi="Times New Roman" w:cs="Times New Roman"/>
          <w:i/>
          <w:iCs/>
          <w:sz w:val="24"/>
          <w:szCs w:val="24"/>
          <w:u w:val="none"/>
        </w:rPr>
        <w:t>,</w:t>
      </w:r>
      <w:r>
        <w:rPr>
          <w:rFonts w:ascii="Times New Roman" w:hAnsi="Times New Roman" w:cs="Times New Roman"/>
        </w:rPr>
        <w:t xml:space="preserve"> that</w:t>
      </w:r>
    </w:p>
    <w:p w:rsidR="009966B2" w:rsidRDefault="001C6202"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hAnsi="Times New Roman" w:cs="Times New Roman"/>
        </w:rPr>
      </w:pPr>
      <w:r w:rsidRPr="00534155">
        <w:rPr>
          <w:rFonts w:ascii="Times New Roman" w:hAnsi="Times New Roman" w:cs="Times New Roman"/>
        </w:rPr>
        <w:t xml:space="preserve">in this State no general rule can be laid down to definitely fix the degree of similarity of the properties, the nearness of time of the sales and the distance of the properties sold. These are matters with which the trial judge is conversant and must </w:t>
      </w:r>
      <w:r w:rsidR="009966B2">
        <w:rPr>
          <w:rFonts w:ascii="Times New Roman" w:hAnsi="Times New Roman" w:cs="Times New Roman"/>
        </w:rPr>
        <w:t>rest largely in his discretion.</w:t>
      </w:r>
      <w:r w:rsidRPr="00534155">
        <w:rPr>
          <w:rFonts w:ascii="Times New Roman" w:hAnsi="Times New Roman" w:cs="Times New Roman"/>
        </w:rPr>
        <w:t xml:space="preserve"> </w:t>
      </w:r>
    </w:p>
    <w:p w:rsidR="009966B2" w:rsidRDefault="009966B2"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hAnsi="Times New Roman" w:cs="Times New Roman"/>
        </w:rPr>
      </w:pPr>
    </w:p>
    <w:p w:rsidR="009966B2"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sidRPr="00534155">
        <w:rPr>
          <w:rFonts w:ascii="Times New Roman" w:hAnsi="Times New Roman" w:cs="Times New Roman"/>
        </w:rPr>
        <w:t>Si</w:t>
      </w:r>
      <w:r w:rsidR="00C621AA">
        <w:rPr>
          <w:rFonts w:ascii="Times New Roman" w:hAnsi="Times New Roman" w:cs="Times New Roman"/>
        </w:rPr>
        <w:t>milarly, the c</w:t>
      </w:r>
      <w:r w:rsidRPr="00534155">
        <w:rPr>
          <w:rFonts w:ascii="Times New Roman" w:hAnsi="Times New Roman" w:cs="Times New Roman"/>
        </w:rPr>
        <w:t xml:space="preserve">ourt looked to </w:t>
      </w:r>
      <w:r w:rsidRPr="00534155">
        <w:rPr>
          <w:rFonts w:ascii="Times New Roman" w:hAnsi="Times New Roman" w:cs="Times New Roman"/>
          <w:i/>
          <w:iCs/>
        </w:rPr>
        <w:t>Lewis on Eminent Domain</w:t>
      </w:r>
      <w:r w:rsidRPr="00534155">
        <w:rPr>
          <w:rFonts w:ascii="Times New Roman" w:hAnsi="Times New Roman" w:cs="Times New Roman"/>
        </w:rPr>
        <w:t xml:space="preserve"> for the propo</w:t>
      </w:r>
      <w:r w:rsidR="009966B2">
        <w:rPr>
          <w:rFonts w:ascii="Times New Roman" w:hAnsi="Times New Roman" w:cs="Times New Roman"/>
        </w:rPr>
        <w:t>sition that</w:t>
      </w:r>
      <w:r w:rsidR="005146CF" w:rsidRPr="00534155">
        <w:rPr>
          <w:rFonts w:ascii="Times New Roman" w:hAnsi="Times New Roman" w:cs="Times New Roman"/>
        </w:rPr>
        <w:t xml:space="preserve"> </w:t>
      </w:r>
    </w:p>
    <w:p w:rsidR="001C6202" w:rsidRPr="00534155" w:rsidRDefault="001C6202"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jc w:val="both"/>
        <w:rPr>
          <w:rFonts w:ascii="Times New Roman" w:hAnsi="Times New Roman" w:cs="Times New Roman"/>
        </w:rPr>
      </w:pPr>
      <w:r w:rsidRPr="00534155">
        <w:rPr>
          <w:rFonts w:ascii="Times New Roman" w:hAnsi="Times New Roman" w:cs="Times New Roman"/>
        </w:rPr>
        <w:t xml:space="preserve">In regard to the degree of similarity which must exist between the property concerning which such proof is offered and the property taken, and the nearness in </w:t>
      </w:r>
      <w:r w:rsidRPr="00534155">
        <w:rPr>
          <w:rFonts w:ascii="Times New Roman" w:hAnsi="Times New Roman" w:cs="Times New Roman"/>
        </w:rPr>
        <w:lastRenderedPageBreak/>
        <w:t>respect of time and distance, no general rules can be laid down. These are matters with which the trial judge is usually conversant and they must rest largely in his discretion.</w:t>
      </w:r>
      <w:r w:rsidR="00C621AA" w:rsidRPr="00C621AA">
        <w:rPr>
          <w:rStyle w:val="FootnoteReference"/>
          <w:rFonts w:ascii="Times New Roman" w:hAnsi="Times New Roman" w:cs="Times New Roman"/>
          <w:vertAlign w:val="superscript"/>
        </w:rPr>
        <w:footnoteReference w:id="50"/>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1C6202" w:rsidRPr="00534155" w:rsidRDefault="009966B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Finally, citing the Massachusetts decision,</w:t>
      </w:r>
      <w:r w:rsidR="001C6202" w:rsidRPr="00534155">
        <w:rPr>
          <w:rFonts w:ascii="Times New Roman" w:hAnsi="Times New Roman" w:cs="Times New Roman"/>
        </w:rPr>
        <w:t xml:space="preserve"> </w:t>
      </w:r>
      <w:r w:rsidR="001C6202" w:rsidRPr="00534155">
        <w:rPr>
          <w:rStyle w:val="Hyperlink6"/>
          <w:rFonts w:ascii="Times New Roman" w:hAnsi="Times New Roman" w:cs="Times New Roman"/>
          <w:i/>
          <w:iCs/>
          <w:sz w:val="24"/>
          <w:szCs w:val="24"/>
          <w:u w:val="none"/>
        </w:rPr>
        <w:t xml:space="preserve">Benhan </w:t>
      </w:r>
      <w:r w:rsidR="001C6202" w:rsidRPr="00534155">
        <w:rPr>
          <w:rStyle w:val="Hyperlink6"/>
          <w:rFonts w:ascii="Times New Roman" w:hAnsi="Times New Roman" w:cs="Times New Roman"/>
          <w:sz w:val="24"/>
          <w:szCs w:val="24"/>
          <w:u w:val="none"/>
        </w:rPr>
        <w:t>v.</w:t>
      </w:r>
      <w:r w:rsidR="001C6202" w:rsidRPr="00534155">
        <w:rPr>
          <w:rStyle w:val="Hyperlink6"/>
          <w:rFonts w:ascii="Times New Roman" w:hAnsi="Times New Roman" w:cs="Times New Roman"/>
          <w:i/>
          <w:iCs/>
          <w:sz w:val="24"/>
          <w:szCs w:val="24"/>
          <w:u w:val="none"/>
        </w:rPr>
        <w:t xml:space="preserve"> Dunbar</w:t>
      </w:r>
      <w:r w:rsidR="001C6202" w:rsidRPr="00534155">
        <w:rPr>
          <w:rStyle w:val="FootnoteReference"/>
          <w:rFonts w:ascii="Times New Roman" w:hAnsi="Times New Roman" w:cs="Times New Roman"/>
          <w:vertAlign w:val="superscript"/>
        </w:rPr>
        <w:footnoteReference w:id="51"/>
      </w:r>
      <w:r w:rsidRPr="00534155">
        <w:rPr>
          <w:rStyle w:val="Hyperlink6"/>
          <w:rFonts w:ascii="Times New Roman" w:hAnsi="Times New Roman" w:cs="Times New Roman"/>
          <w:sz w:val="24"/>
          <w:szCs w:val="24"/>
          <w:u w:val="none"/>
        </w:rPr>
        <w:t>,</w:t>
      </w:r>
      <w:r w:rsidR="00C621AA">
        <w:rPr>
          <w:rFonts w:ascii="Times New Roman" w:hAnsi="Times New Roman" w:cs="Times New Roman"/>
        </w:rPr>
        <w:t xml:space="preserve"> the c</w:t>
      </w:r>
      <w:r>
        <w:rPr>
          <w:rFonts w:ascii="Times New Roman" w:hAnsi="Times New Roman" w:cs="Times New Roman"/>
        </w:rPr>
        <w:t>ourt stated that</w:t>
      </w:r>
    </w:p>
    <w:p w:rsidR="001C6202" w:rsidRDefault="001C6202"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i/>
          <w:iCs/>
        </w:rPr>
        <w:t>[P]roof of sales of property distant from a half mile to six miles, and ranging in time from one to eight years previous, was held competent</w:t>
      </w:r>
      <w:r w:rsidRPr="00534155">
        <w:rPr>
          <w:rFonts w:ascii="Times New Roman" w:hAnsi="Times New Roman" w:cs="Times New Roman"/>
        </w:rPr>
        <w:t xml:space="preserve">. It will be seen from the testimony that the sales testified to were of land in several respects not entirely similar to appellant's land, but the proof disclosed to the jury wherein they were dissimilar in character, location and transportation facilities. </w:t>
      </w:r>
      <w:r w:rsidRPr="00534155">
        <w:rPr>
          <w:rFonts w:ascii="Times New Roman" w:hAnsi="Times New Roman" w:cs="Times New Roman"/>
          <w:i/>
          <w:iCs/>
        </w:rPr>
        <w:t>These things affected the weight and value of that testimony, but we are of opinion it cannot be held it was entirely incompetent and that the admission should reverse the judgment</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52"/>
      </w:r>
    </w:p>
    <w:p w:rsidR="00C621AA" w:rsidRDefault="00C621AA"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p>
    <w:p w:rsidR="00BC40A7" w:rsidRPr="00CB398A" w:rsidRDefault="00C621AA" w:rsidP="00CB3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Times New Roman" w:hAnsi="Times New Roman" w:cs="Times New Roman"/>
        </w:rPr>
      </w:pPr>
      <w:r>
        <w:rPr>
          <w:rFonts w:ascii="Times New Roman" w:hAnsi="Times New Roman" w:cs="Times New Roman"/>
        </w:rPr>
        <w:t xml:space="preserve">Overall, the Illinois Supreme Court </w:t>
      </w:r>
      <w:r w:rsidR="00BC40A7">
        <w:rPr>
          <w:rFonts w:ascii="Times New Roman" w:hAnsi="Times New Roman" w:cs="Times New Roman"/>
        </w:rPr>
        <w:t>follows the trend of deferring to the trial court’s discretion when it comes to admission of subsequent comparable sales.</w:t>
      </w:r>
    </w:p>
    <w:p w:rsidR="001C6202" w:rsidRPr="00534155" w:rsidRDefault="00CB398A"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d.</w:t>
      </w:r>
      <w:r w:rsidR="001C6202" w:rsidRPr="00534155">
        <w:rPr>
          <w:rFonts w:ascii="Times New Roman" w:hAnsi="Times New Roman" w:cs="Times New Roman"/>
          <w:b/>
          <w:bCs/>
        </w:rPr>
        <w:tab/>
        <w:t>Texas</w:t>
      </w:r>
    </w:p>
    <w:p w:rsidR="001C6202" w:rsidRPr="00534155" w:rsidRDefault="001C6202" w:rsidP="009966B2">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t xml:space="preserve">Texas courts have also indicated that post-taking </w:t>
      </w:r>
      <w:r w:rsidR="00CB398A">
        <w:rPr>
          <w:rFonts w:ascii="Times New Roman" w:hAnsi="Times New Roman" w:cs="Times New Roman"/>
        </w:rPr>
        <w:t>sales</w:t>
      </w:r>
      <w:r w:rsidRPr="00534155">
        <w:rPr>
          <w:rFonts w:ascii="Times New Roman" w:hAnsi="Times New Roman" w:cs="Times New Roman"/>
        </w:rPr>
        <w:t xml:space="preserve"> are </w:t>
      </w:r>
      <w:r w:rsidR="009966B2">
        <w:rPr>
          <w:rFonts w:ascii="Times New Roman" w:hAnsi="Times New Roman" w:cs="Times New Roman"/>
        </w:rPr>
        <w:t>admissible as comparable sales.</w:t>
      </w:r>
      <w:r w:rsidRPr="00534155">
        <w:rPr>
          <w:rFonts w:ascii="Times New Roman" w:hAnsi="Times New Roman" w:cs="Times New Roman"/>
        </w:rPr>
        <w:t xml:space="preserve"> In </w:t>
      </w:r>
      <w:r w:rsidRPr="00534155">
        <w:rPr>
          <w:rFonts w:ascii="Times New Roman" w:hAnsi="Times New Roman" w:cs="Times New Roman"/>
          <w:i/>
          <w:iCs/>
        </w:rPr>
        <w:t>Housing Authority of the City of Dallas v. Hubbard</w:t>
      </w:r>
      <w:r w:rsidRPr="00534155">
        <w:rPr>
          <w:rStyle w:val="FootnoteReference"/>
          <w:rFonts w:ascii="Times New Roman" w:hAnsi="Times New Roman" w:cs="Times New Roman"/>
          <w:vertAlign w:val="superscript"/>
        </w:rPr>
        <w:footnoteReference w:id="53"/>
      </w:r>
      <w:r w:rsidR="00CB398A">
        <w:rPr>
          <w:rFonts w:ascii="Times New Roman" w:hAnsi="Times New Roman" w:cs="Times New Roman"/>
          <w:i/>
          <w:iCs/>
        </w:rPr>
        <w:t>,</w:t>
      </w:r>
      <w:r w:rsidRPr="00534155">
        <w:rPr>
          <w:rFonts w:ascii="Times New Roman" w:hAnsi="Times New Roman" w:cs="Times New Roman"/>
        </w:rPr>
        <w:t xml:space="preserve"> the </w:t>
      </w:r>
      <w:r w:rsidR="00CB398A">
        <w:rPr>
          <w:rFonts w:ascii="Times New Roman" w:hAnsi="Times New Roman" w:cs="Times New Roman"/>
        </w:rPr>
        <w:t xml:space="preserve">Texas </w:t>
      </w:r>
      <w:r w:rsidRPr="00534155">
        <w:rPr>
          <w:rFonts w:ascii="Times New Roman" w:hAnsi="Times New Roman" w:cs="Times New Roman"/>
        </w:rPr>
        <w:t>Court of Civil Appeals refused to hold admission of post-taking comparable</w:t>
      </w:r>
      <w:r w:rsidR="009966B2">
        <w:rPr>
          <w:rFonts w:ascii="Times New Roman" w:hAnsi="Times New Roman" w:cs="Times New Roman"/>
        </w:rPr>
        <w:t xml:space="preserve"> sales to be a source of error.</w:t>
      </w:r>
      <w:r w:rsidRPr="00534155">
        <w:rPr>
          <w:rFonts w:ascii="Times New Roman" w:hAnsi="Times New Roman" w:cs="Times New Roman"/>
        </w:rPr>
        <w:t xml:space="preserve"> In discussing comparable sales from two, five</w:t>
      </w:r>
      <w:r w:rsidR="00CB398A">
        <w:rPr>
          <w:rFonts w:ascii="Times New Roman" w:hAnsi="Times New Roman" w:cs="Times New Roman"/>
        </w:rPr>
        <w:t>,</w:t>
      </w:r>
      <w:r w:rsidRPr="00534155">
        <w:rPr>
          <w:rFonts w:ascii="Times New Roman" w:hAnsi="Times New Roman" w:cs="Times New Roman"/>
        </w:rPr>
        <w:t xml:space="preserve"> and ten months after t</w:t>
      </w:r>
      <w:r w:rsidR="009966B2">
        <w:rPr>
          <w:rFonts w:ascii="Times New Roman" w:hAnsi="Times New Roman" w:cs="Times New Roman"/>
        </w:rPr>
        <w:t xml:space="preserve">he taking, the </w:t>
      </w:r>
      <w:r w:rsidR="00CB398A">
        <w:rPr>
          <w:rFonts w:ascii="Times New Roman" w:hAnsi="Times New Roman" w:cs="Times New Roman"/>
        </w:rPr>
        <w:t>c</w:t>
      </w:r>
      <w:r w:rsidR="009966B2">
        <w:rPr>
          <w:rFonts w:ascii="Times New Roman" w:hAnsi="Times New Roman" w:cs="Times New Roman"/>
        </w:rPr>
        <w:t xml:space="preserve">ourt noted, </w:t>
      </w:r>
      <w:r w:rsidRPr="00534155">
        <w:rPr>
          <w:rFonts w:ascii="Times New Roman" w:hAnsi="Times New Roman" w:cs="Times New Roman"/>
        </w:rPr>
        <w:t xml:space="preserve">“We agree with appellant that when property is taken by condemnation the condemnor should not have to pay an increased value due to </w:t>
      </w:r>
      <w:r w:rsidR="009966B2">
        <w:rPr>
          <w:rFonts w:ascii="Times New Roman" w:hAnsi="Times New Roman" w:cs="Times New Roman"/>
        </w:rPr>
        <w:t xml:space="preserve">the public improvement itself. </w:t>
      </w:r>
      <w:r w:rsidRPr="00534155">
        <w:rPr>
          <w:rFonts w:ascii="Times New Roman" w:hAnsi="Times New Roman" w:cs="Times New Roman"/>
        </w:rPr>
        <w:t>But we find no testimony in the record to support the contention that such was the fact in this case.”</w:t>
      </w:r>
      <w:r w:rsidRPr="00534155">
        <w:rPr>
          <w:rStyle w:val="FootnoteReference"/>
          <w:rFonts w:ascii="Times New Roman" w:hAnsi="Times New Roman" w:cs="Times New Roman"/>
          <w:vertAlign w:val="superscript"/>
        </w:rPr>
        <w:footnoteReference w:id="54"/>
      </w:r>
      <w:r w:rsidR="009966B2">
        <w:rPr>
          <w:rFonts w:ascii="Times New Roman" w:hAnsi="Times New Roman" w:cs="Times New Roman"/>
        </w:rPr>
        <w:t xml:space="preserve"> </w:t>
      </w:r>
      <w:r w:rsidRPr="00534155">
        <w:rPr>
          <w:rFonts w:ascii="Times New Roman" w:hAnsi="Times New Roman" w:cs="Times New Roman"/>
        </w:rPr>
        <w:t xml:space="preserve">The </w:t>
      </w:r>
      <w:r w:rsidR="00CB398A">
        <w:rPr>
          <w:rFonts w:ascii="Times New Roman" w:hAnsi="Times New Roman" w:cs="Times New Roman"/>
        </w:rPr>
        <w:t>c</w:t>
      </w:r>
      <w:r w:rsidRPr="00534155">
        <w:rPr>
          <w:rFonts w:ascii="Times New Roman" w:hAnsi="Times New Roman" w:cs="Times New Roman"/>
        </w:rPr>
        <w:t xml:space="preserve">ourt refused to state as a matter of law that the </w:t>
      </w:r>
      <w:r w:rsidR="00294955" w:rsidRPr="00534155">
        <w:rPr>
          <w:rFonts w:ascii="Times New Roman" w:hAnsi="Times New Roman" w:cs="Times New Roman"/>
        </w:rPr>
        <w:t>values of comparable sales are</w:t>
      </w:r>
      <w:r w:rsidRPr="00534155">
        <w:rPr>
          <w:rFonts w:ascii="Times New Roman" w:hAnsi="Times New Roman" w:cs="Times New Roman"/>
        </w:rPr>
        <w:t xml:space="preserve"> always elevated by such projects, and therefore the post-taking sales were properly admitted.</w:t>
      </w:r>
      <w:r w:rsidRPr="00534155">
        <w:rPr>
          <w:rStyle w:val="FootnoteReference"/>
          <w:rFonts w:ascii="Times New Roman" w:hAnsi="Times New Roman" w:cs="Times New Roman"/>
          <w:vertAlign w:val="superscript"/>
        </w:rPr>
        <w:footnoteReference w:id="55"/>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lastRenderedPageBreak/>
        <w:t xml:space="preserve">The outcome in </w:t>
      </w:r>
      <w:r w:rsidRPr="00534155">
        <w:rPr>
          <w:rFonts w:ascii="Times New Roman" w:hAnsi="Times New Roman" w:cs="Times New Roman"/>
          <w:i/>
          <w:iCs/>
        </w:rPr>
        <w:t>Hubbard</w:t>
      </w:r>
      <w:r w:rsidRPr="00534155">
        <w:rPr>
          <w:rFonts w:ascii="Times New Roman" w:hAnsi="Times New Roman" w:cs="Times New Roman"/>
        </w:rPr>
        <w:t xml:space="preserve"> reinforced the decision of the Court of Civil Appeals in </w:t>
      </w:r>
      <w:r w:rsidRPr="00534155">
        <w:rPr>
          <w:rFonts w:ascii="Times New Roman" w:hAnsi="Times New Roman" w:cs="Times New Roman"/>
          <w:i/>
          <w:iCs/>
        </w:rPr>
        <w:t>Housing Authority of Dallas v. Shambry</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56"/>
      </w:r>
      <w:r w:rsidRPr="00534155">
        <w:rPr>
          <w:rFonts w:ascii="Times New Roman" w:hAnsi="Times New Roman" w:cs="Times New Roman"/>
        </w:rPr>
        <w:t xml:space="preserve"> which upheld the admission of comparable sales five month</w:t>
      </w:r>
      <w:r w:rsidR="009966B2">
        <w:rPr>
          <w:rFonts w:ascii="Times New Roman" w:hAnsi="Times New Roman" w:cs="Times New Roman"/>
        </w:rPr>
        <w:t>s after the date of the taking.</w:t>
      </w:r>
      <w:r w:rsidRPr="00534155">
        <w:rPr>
          <w:rFonts w:ascii="Times New Roman" w:hAnsi="Times New Roman" w:cs="Times New Roman"/>
        </w:rPr>
        <w:t xml:space="preserve"> In </w:t>
      </w:r>
      <w:r w:rsidRPr="00534155">
        <w:rPr>
          <w:rFonts w:ascii="Times New Roman" w:hAnsi="Times New Roman" w:cs="Times New Roman"/>
          <w:i/>
          <w:iCs/>
        </w:rPr>
        <w:t>Shambry</w:t>
      </w:r>
      <w:r w:rsidRPr="00534155">
        <w:rPr>
          <w:rFonts w:ascii="Times New Roman" w:hAnsi="Times New Roman" w:cs="Times New Roman"/>
        </w:rPr>
        <w:t>, the C</w:t>
      </w:r>
      <w:r w:rsidR="009966B2">
        <w:rPr>
          <w:rFonts w:ascii="Times New Roman" w:hAnsi="Times New Roman" w:cs="Times New Roman"/>
        </w:rPr>
        <w:t>ourt stated,</w:t>
      </w:r>
    </w:p>
    <w:p w:rsidR="001C6202" w:rsidRPr="00534155" w:rsidRDefault="001C6202" w:rsidP="009966B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We believe that evidence as to such comparable sales was admissible in order to show that the estimates of the value of the property in controversy was fair and reasonable. Such comparison may be worthless by reason of time and location, but may be considered in connection with the weight to be given the testimony of the witnesses.</w:t>
      </w:r>
      <w:r w:rsidRPr="00534155">
        <w:rPr>
          <w:rStyle w:val="FootnoteReference"/>
          <w:rFonts w:ascii="Times New Roman" w:hAnsi="Times New Roman" w:cs="Times New Roman"/>
          <w:vertAlign w:val="superscript"/>
        </w:rPr>
        <w:footnoteReference w:id="57"/>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1C6202" w:rsidRPr="00534155" w:rsidRDefault="0094553B"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 xml:space="preserve">Continuing, the court cited </w:t>
      </w:r>
      <w:r>
        <w:rPr>
          <w:rStyle w:val="Hyperlink6"/>
          <w:rFonts w:ascii="Times New Roman" w:hAnsi="Times New Roman" w:cs="Times New Roman"/>
          <w:i/>
          <w:iCs/>
          <w:sz w:val="24"/>
          <w:szCs w:val="24"/>
          <w:u w:val="none"/>
        </w:rPr>
        <w:t>Nagelin v. State</w:t>
      </w:r>
      <w:r w:rsidR="001C6202" w:rsidRPr="00534155">
        <w:rPr>
          <w:rStyle w:val="FootnoteReference"/>
          <w:rFonts w:ascii="Times New Roman" w:hAnsi="Times New Roman" w:cs="Times New Roman"/>
          <w:vertAlign w:val="superscript"/>
        </w:rPr>
        <w:footnoteReference w:id="58"/>
      </w:r>
      <w:r>
        <w:rPr>
          <w:rStyle w:val="Hyperlink6"/>
          <w:rFonts w:ascii="Times New Roman" w:hAnsi="Times New Roman" w:cs="Times New Roman"/>
          <w:iCs/>
          <w:sz w:val="24"/>
          <w:szCs w:val="24"/>
          <w:u w:val="none"/>
        </w:rPr>
        <w:t>,</w:t>
      </w:r>
      <w:r>
        <w:rPr>
          <w:rFonts w:ascii="Times New Roman" w:hAnsi="Times New Roman" w:cs="Times New Roman"/>
        </w:rPr>
        <w:t xml:space="preserve"> stating,</w:t>
      </w:r>
    </w:p>
    <w:p w:rsidR="001C6202" w:rsidRPr="00534155" w:rsidRDefault="001C6202" w:rsidP="00945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Other propositions complain of the trial court's actions in ruling upon the admissibility of certain testimony. A detailed discussion of these propositions would serve no useful purpose. It is sufficient to say that when issues such as values are involved, the trial court is vested with an extensive discretion as to the admissibility of testimony relating thereto.</w:t>
      </w:r>
      <w:r w:rsidRPr="00534155">
        <w:rPr>
          <w:rStyle w:val="FootnoteReference"/>
          <w:rFonts w:ascii="Times New Roman" w:hAnsi="Times New Roman" w:cs="Times New Roman"/>
          <w:vertAlign w:val="superscript"/>
        </w:rPr>
        <w:footnoteReference w:id="59"/>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rPr>
      </w:pPr>
      <w:r w:rsidRPr="00534155">
        <w:rPr>
          <w:rFonts w:ascii="Times New Roman" w:hAnsi="Times New Roman" w:cs="Times New Roman"/>
        </w:rPr>
        <w:t>As with many other states, Texas has applied the case-by-case approach to valuation evidence, with the courts erring on the side of admissibility and deference to the trial court.</w:t>
      </w:r>
    </w:p>
    <w:p w:rsidR="001C6202" w:rsidRPr="00534155" w:rsidRDefault="00CB398A" w:rsidP="0094553B">
      <w:pPr>
        <w:widowControl/>
        <w:tabs>
          <w:tab w:val="left" w:pos="720"/>
          <w:tab w:val="left" w:pos="1440"/>
          <w:tab w:val="left" w:pos="2160"/>
        </w:tabs>
        <w:spacing w:line="480" w:lineRule="auto"/>
        <w:ind w:firstLine="72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e.</w:t>
      </w:r>
      <w:r w:rsidR="001C6202" w:rsidRPr="00534155">
        <w:rPr>
          <w:rFonts w:ascii="Times New Roman" w:hAnsi="Times New Roman" w:cs="Times New Roman"/>
          <w:b/>
          <w:bCs/>
        </w:rPr>
        <w:tab/>
        <w:t>Hawaii</w:t>
      </w:r>
      <w:r w:rsidR="0094553B">
        <w:rPr>
          <w:rFonts w:ascii="Times New Roman" w:hAnsi="Times New Roman" w:cs="Times New Roman"/>
          <w:b/>
          <w:bCs/>
        </w:rPr>
        <w:tab/>
      </w:r>
      <w:r w:rsidR="0094553B">
        <w:rPr>
          <w:rFonts w:ascii="Times New Roman" w:hAnsi="Times New Roman" w:cs="Times New Roman"/>
          <w:b/>
          <w:bCs/>
        </w:rPr>
        <w:tab/>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another early state case permitting post-taking sales to </w:t>
      </w:r>
      <w:r w:rsidR="0094553B">
        <w:rPr>
          <w:rFonts w:ascii="Times New Roman" w:hAnsi="Times New Roman" w:cs="Times New Roman"/>
        </w:rPr>
        <w:t>be admitted into evidence, the c</w:t>
      </w:r>
      <w:r w:rsidRPr="00534155">
        <w:rPr>
          <w:rFonts w:ascii="Times New Roman" w:hAnsi="Times New Roman" w:cs="Times New Roman"/>
        </w:rPr>
        <w:t xml:space="preserve">ourt in </w:t>
      </w:r>
      <w:r w:rsidRPr="00534155">
        <w:rPr>
          <w:rFonts w:ascii="Times New Roman" w:hAnsi="Times New Roman" w:cs="Times New Roman"/>
          <w:i/>
          <w:iCs/>
        </w:rPr>
        <w:t>Hawaii v. Heir of Halemano Kapahi</w:t>
      </w:r>
      <w:r w:rsidRPr="00534155">
        <w:rPr>
          <w:rStyle w:val="FootnoteReference"/>
          <w:rFonts w:ascii="Times New Roman" w:hAnsi="Times New Roman" w:cs="Times New Roman"/>
          <w:vertAlign w:val="superscript"/>
        </w:rPr>
        <w:footnoteReference w:id="60"/>
      </w:r>
      <w:r w:rsidRPr="00534155">
        <w:rPr>
          <w:rFonts w:ascii="Times New Roman" w:hAnsi="Times New Roman" w:cs="Times New Roman"/>
        </w:rPr>
        <w:t xml:space="preserve"> looked to a well-respected treatise for the proposition </w:t>
      </w:r>
      <w:r w:rsidR="0094553B">
        <w:rPr>
          <w:rFonts w:ascii="Times New Roman" w:hAnsi="Times New Roman" w:cs="Times New Roman"/>
        </w:rPr>
        <w:t>that</w:t>
      </w:r>
    </w:p>
    <w:p w:rsidR="001C6202" w:rsidRPr="00534155" w:rsidRDefault="001C6202" w:rsidP="00945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[The courts] usually assume that if property similar in other respects has been sold within a reasonable time to the taking, its sale price is relevant in determining the m</w:t>
      </w:r>
      <w:r w:rsidR="0094553B">
        <w:rPr>
          <w:rFonts w:ascii="Times New Roman" w:hAnsi="Times New Roman" w:cs="Times New Roman"/>
        </w:rPr>
        <w:t xml:space="preserve">arket value of property taken. </w:t>
      </w:r>
      <w:r w:rsidRPr="00534155">
        <w:rPr>
          <w:rFonts w:ascii="Times New Roman" w:hAnsi="Times New Roman" w:cs="Times New Roman"/>
        </w:rPr>
        <w:t>As to what constitutes a reasonable time, a wide discretion is vested in the trial court and the appellate courts are reluctant to reverse the lower court’s det</w:t>
      </w:r>
      <w:r w:rsidR="0094553B">
        <w:rPr>
          <w:rFonts w:ascii="Times New Roman" w:hAnsi="Times New Roman" w:cs="Times New Roman"/>
        </w:rPr>
        <w:t xml:space="preserve">ermination as a matter of law. </w:t>
      </w:r>
      <w:r w:rsidRPr="00534155">
        <w:rPr>
          <w:rFonts w:ascii="Times New Roman" w:hAnsi="Times New Roman" w:cs="Times New Roman"/>
        </w:rPr>
        <w:t>In the usual run of cases, a sale within a year is admitted as a matter of course.</w:t>
      </w:r>
      <w:r w:rsidRPr="00534155">
        <w:rPr>
          <w:rStyle w:val="FootnoteReference"/>
          <w:rFonts w:ascii="Times New Roman" w:hAnsi="Times New Roman" w:cs="Times New Roman"/>
          <w:vertAlign w:val="superscript"/>
        </w:rPr>
        <w:footnoteReference w:id="61"/>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lastRenderedPageBreak/>
        <w:t xml:space="preserve">Cognizant of the concern that such evidence would not truly represent the market value </w:t>
      </w:r>
      <w:r w:rsidR="0094553B">
        <w:rPr>
          <w:rFonts w:ascii="Times New Roman" w:hAnsi="Times New Roman" w:cs="Times New Roman"/>
        </w:rPr>
        <w:t xml:space="preserve">at the time of the taking, the court continued, noting, </w:t>
      </w:r>
    </w:p>
    <w:p w:rsidR="001C6202" w:rsidRPr="00534155" w:rsidRDefault="001C6202" w:rsidP="009455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In any case, however, a finding that the evidence falls within a reasonable time does not imply that market conditions are precisely the same and it remains open to either party to dispute the significance of the sale by proving a change in m</w:t>
      </w:r>
      <w:r w:rsidR="0094553B">
        <w:rPr>
          <w:rFonts w:ascii="Times New Roman" w:hAnsi="Times New Roman" w:cs="Times New Roman"/>
        </w:rPr>
        <w:t xml:space="preserve">arket conditions. Generally speaking, </w:t>
      </w:r>
      <w:r w:rsidRPr="00534155">
        <w:rPr>
          <w:rFonts w:ascii="Times New Roman" w:hAnsi="Times New Roman" w:cs="Times New Roman"/>
        </w:rPr>
        <w:t>the courts make no distinction between sales occurring prior to the taking and sales consummated after the date when title has vested in the condemner.</w:t>
      </w:r>
      <w:r w:rsidRPr="00534155">
        <w:rPr>
          <w:rStyle w:val="FootnoteReference"/>
          <w:rFonts w:ascii="Times New Roman" w:hAnsi="Times New Roman" w:cs="Times New Roman"/>
          <w:vertAlign w:val="superscript"/>
        </w:rPr>
        <w:footnoteReference w:id="62"/>
      </w:r>
    </w:p>
    <w:p w:rsidR="005146CF" w:rsidRPr="00534155" w:rsidRDefault="005146CF"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Therefore, according to the </w:t>
      </w:r>
      <w:r w:rsidR="00CB398A">
        <w:rPr>
          <w:rFonts w:ascii="Times New Roman" w:hAnsi="Times New Roman" w:cs="Times New Roman"/>
        </w:rPr>
        <w:t>c</w:t>
      </w:r>
      <w:r w:rsidRPr="00534155">
        <w:rPr>
          <w:rFonts w:ascii="Times New Roman" w:hAnsi="Times New Roman" w:cs="Times New Roman"/>
        </w:rPr>
        <w:t>ourt, “[t]he test is the similarity of the lands and the reasonableness of the time of sale in order to have any application to the value of the land taken at the time of condemnation, which is the sole question before the jury.”</w:t>
      </w:r>
      <w:r w:rsidRPr="00534155">
        <w:rPr>
          <w:rStyle w:val="FootnoteReference"/>
          <w:rFonts w:ascii="Times New Roman" w:hAnsi="Times New Roman" w:cs="Times New Roman"/>
          <w:vertAlign w:val="superscript"/>
        </w:rPr>
        <w:footnoteReference w:id="63"/>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t xml:space="preserve">With the principles stated above in mind, the </w:t>
      </w:r>
      <w:r w:rsidR="00CB398A">
        <w:rPr>
          <w:rFonts w:ascii="Times New Roman" w:hAnsi="Times New Roman" w:cs="Times New Roman"/>
        </w:rPr>
        <w:t>c</w:t>
      </w:r>
      <w:r w:rsidRPr="00534155">
        <w:rPr>
          <w:rFonts w:ascii="Times New Roman" w:hAnsi="Times New Roman" w:cs="Times New Roman"/>
        </w:rPr>
        <w:t xml:space="preserve">ourt in </w:t>
      </w:r>
      <w:r w:rsidRPr="00534155">
        <w:rPr>
          <w:rFonts w:ascii="Times New Roman" w:hAnsi="Times New Roman" w:cs="Times New Roman"/>
          <w:i/>
          <w:iCs/>
        </w:rPr>
        <w:t>Heir of Halemano Kapahi</w:t>
      </w:r>
      <w:r w:rsidRPr="00534155">
        <w:rPr>
          <w:rFonts w:ascii="Times New Roman" w:hAnsi="Times New Roman" w:cs="Times New Roman"/>
        </w:rPr>
        <w:t xml:space="preserve"> </w:t>
      </w:r>
      <w:r w:rsidR="00925BED">
        <w:rPr>
          <w:rFonts w:ascii="Times New Roman" w:hAnsi="Times New Roman" w:cs="Times New Roman"/>
        </w:rPr>
        <w:t xml:space="preserve">ultimately </w:t>
      </w:r>
      <w:r w:rsidRPr="00534155">
        <w:rPr>
          <w:rFonts w:ascii="Times New Roman" w:hAnsi="Times New Roman" w:cs="Times New Roman"/>
        </w:rPr>
        <w:t>held that:</w:t>
      </w:r>
    </w:p>
    <w:p w:rsidR="00CB398A" w:rsidRDefault="001C6202" w:rsidP="00CB39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Where evidence of a comparable sale or lease is offered, the trial judge may, in his discretion, admit or exclude it considering such factors as the time of the transaction, size shape and character of the comparable land, and whether there has been any enhancement or depression in value. </w:t>
      </w:r>
      <w:r w:rsidRPr="00534155">
        <w:rPr>
          <w:rFonts w:ascii="Times New Roman" w:hAnsi="Times New Roman" w:cs="Times New Roman"/>
          <w:i/>
          <w:iCs/>
        </w:rPr>
        <w:t>It makes no difference whether the transaction occurred before or after the date of condemnation so long as it is not too remote a period of time and the land is reasonably comparable, having been neither enhanced or decreased in value by the project or improvement occasioning the taking</w:t>
      </w:r>
      <w:r w:rsidRPr="00534155">
        <w:rPr>
          <w:rFonts w:ascii="Times New Roman" w:hAnsi="Times New Roman" w:cs="Times New Roman"/>
        </w:rPr>
        <w:t>.  The weight to be given such evidence is for the jury.  The trial judge’s determination as to the admissibility or non-admissibility of such evidence will not be upset on appeal unless it is a clear abuse of discretion.</w:t>
      </w:r>
      <w:r w:rsidRPr="00534155">
        <w:rPr>
          <w:rStyle w:val="FootnoteReference"/>
          <w:rFonts w:ascii="Times New Roman" w:hAnsi="Times New Roman" w:cs="Times New Roman"/>
          <w:vertAlign w:val="superscript"/>
        </w:rPr>
        <w:footnoteReference w:id="64"/>
      </w:r>
    </w:p>
    <w:p w:rsidR="00CB398A" w:rsidRDefault="00CB398A" w:rsidP="00CB39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jc w:val="both"/>
        <w:rPr>
          <w:rFonts w:ascii="Times New Roman" w:hAnsi="Times New Roman" w:cs="Times New Roman"/>
        </w:rPr>
      </w:pPr>
    </w:p>
    <w:p w:rsidR="001C6202" w:rsidRPr="00534155" w:rsidRDefault="00CB398A" w:rsidP="00CB3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C6202" w:rsidRPr="00534155">
        <w:rPr>
          <w:rFonts w:ascii="Times New Roman" w:hAnsi="Times New Roman" w:cs="Times New Roman"/>
          <w:b/>
          <w:bCs/>
        </w:rPr>
        <w:t>f.</w:t>
      </w:r>
      <w:r w:rsidR="001C6202" w:rsidRPr="00534155">
        <w:rPr>
          <w:rFonts w:ascii="Times New Roman" w:hAnsi="Times New Roman" w:cs="Times New Roman"/>
          <w:b/>
          <w:bCs/>
        </w:rPr>
        <w:tab/>
        <w:t>Michigan</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Basing its opinion largely on the decision in </w:t>
      </w:r>
      <w:r w:rsidRPr="00534155">
        <w:rPr>
          <w:rFonts w:ascii="Times New Roman" w:hAnsi="Times New Roman" w:cs="Times New Roman"/>
          <w:i/>
          <w:iCs/>
        </w:rPr>
        <w:t>Heir of Halemano Kapahi</w:t>
      </w:r>
      <w:r w:rsidRPr="00534155">
        <w:rPr>
          <w:rFonts w:ascii="Times New Roman" w:hAnsi="Times New Roman" w:cs="Times New Roman"/>
        </w:rPr>
        <w:t>, and on the principle that “[e]vidence regarding value is to be liberally received,”</w:t>
      </w:r>
      <w:r w:rsidRPr="00534155">
        <w:rPr>
          <w:rStyle w:val="FootnoteReference"/>
          <w:rFonts w:ascii="Times New Roman" w:hAnsi="Times New Roman" w:cs="Times New Roman"/>
          <w:vertAlign w:val="superscript"/>
        </w:rPr>
        <w:footnoteReference w:id="65"/>
      </w:r>
      <w:r w:rsidRPr="00534155">
        <w:rPr>
          <w:rFonts w:ascii="Times New Roman" w:hAnsi="Times New Roman" w:cs="Times New Roman"/>
        </w:rPr>
        <w:t xml:space="preserve"> in </w:t>
      </w:r>
      <w:r w:rsidRPr="00534155">
        <w:rPr>
          <w:rFonts w:ascii="Times New Roman" w:hAnsi="Times New Roman" w:cs="Times New Roman"/>
          <w:i/>
          <w:iCs/>
        </w:rPr>
        <w:t>Detroit v. Drinkwater, Taylor &amp; Merrill, Inc.,</w:t>
      </w:r>
      <w:r w:rsidRPr="00534155">
        <w:rPr>
          <w:rStyle w:val="FootnoteReference"/>
          <w:rFonts w:ascii="Times New Roman" w:hAnsi="Times New Roman" w:cs="Times New Roman"/>
          <w:i/>
          <w:iCs/>
          <w:vertAlign w:val="superscript"/>
        </w:rPr>
        <w:footnoteReference w:id="66"/>
      </w:r>
      <w:r w:rsidRPr="00534155">
        <w:rPr>
          <w:rFonts w:ascii="Times New Roman" w:hAnsi="Times New Roman" w:cs="Times New Roman"/>
          <w:i/>
          <w:iCs/>
        </w:rPr>
        <w:t xml:space="preserve"> </w:t>
      </w:r>
      <w:r w:rsidRPr="00534155">
        <w:rPr>
          <w:rFonts w:ascii="Times New Roman" w:hAnsi="Times New Roman" w:cs="Times New Roman"/>
        </w:rPr>
        <w:t xml:space="preserve">the Michigan Court of Appeals </w:t>
      </w:r>
      <w:r w:rsidR="004D01CA">
        <w:rPr>
          <w:rFonts w:ascii="Times New Roman" w:hAnsi="Times New Roman" w:cs="Times New Roman"/>
        </w:rPr>
        <w:t>held,</w:t>
      </w:r>
    </w:p>
    <w:p w:rsidR="005146CF" w:rsidRPr="00534155" w:rsidRDefault="001C6202" w:rsidP="001943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lastRenderedPageBreak/>
        <w:t xml:space="preserve">The reasoning of </w:t>
      </w:r>
      <w:r w:rsidRPr="00534155">
        <w:rPr>
          <w:rFonts w:ascii="Times New Roman" w:hAnsi="Times New Roman" w:cs="Times New Roman"/>
          <w:i/>
          <w:iCs/>
        </w:rPr>
        <w:t xml:space="preserve">Hawaii [v. Heir of Halemano Kapahi] </w:t>
      </w:r>
      <w:r w:rsidRPr="00534155">
        <w:rPr>
          <w:rFonts w:ascii="Times New Roman" w:hAnsi="Times New Roman" w:cs="Times New Roman"/>
        </w:rPr>
        <w:t xml:space="preserve">is logical and persuasive and not </w:t>
      </w:r>
      <w:r w:rsidR="004D01CA">
        <w:rPr>
          <w:rFonts w:ascii="Times New Roman" w:hAnsi="Times New Roman" w:cs="Times New Roman"/>
        </w:rPr>
        <w:t>inconsistent with Michigan law.</w:t>
      </w:r>
      <w:r w:rsidRPr="00534155">
        <w:rPr>
          <w:rFonts w:ascii="Times New Roman" w:hAnsi="Times New Roman" w:cs="Times New Roman"/>
        </w:rPr>
        <w:t xml:space="preserve"> It is within the sound discretion of the trial court whether the sale of property referred to took place within a</w:t>
      </w:r>
      <w:r w:rsidR="004D01CA">
        <w:rPr>
          <w:rFonts w:ascii="Times New Roman" w:hAnsi="Times New Roman" w:cs="Times New Roman"/>
        </w:rPr>
        <w:t xml:space="preserve"> reasonable time of the taking.</w:t>
      </w:r>
      <w:r w:rsidRPr="00534155">
        <w:rPr>
          <w:rFonts w:ascii="Times New Roman" w:hAnsi="Times New Roman" w:cs="Times New Roman"/>
        </w:rPr>
        <w:t xml:space="preserve"> The trial court’s reasoning in the present case follows the reasoning of the </w:t>
      </w:r>
      <w:r w:rsidRPr="00534155">
        <w:rPr>
          <w:rFonts w:ascii="Times New Roman" w:hAnsi="Times New Roman" w:cs="Times New Roman"/>
          <w:i/>
          <w:iCs/>
        </w:rPr>
        <w:t>Hawaii [v. Heir of Halemano Kapahi]</w:t>
      </w:r>
      <w:r w:rsidR="004D01CA">
        <w:rPr>
          <w:rFonts w:ascii="Times New Roman" w:hAnsi="Times New Roman" w:cs="Times New Roman"/>
        </w:rPr>
        <w:t xml:space="preserve"> Court.</w:t>
      </w:r>
      <w:r w:rsidRPr="00534155">
        <w:rPr>
          <w:rFonts w:ascii="Times New Roman" w:hAnsi="Times New Roman" w:cs="Times New Roman"/>
        </w:rPr>
        <w:t xml:space="preserve"> The trial court did not abuse its discretion by permitting the appraisal experts to utilize comparable sales occurring within one to four months after the dates of taking in determining fair market value.</w:t>
      </w:r>
      <w:r w:rsidRPr="00534155">
        <w:rPr>
          <w:rStyle w:val="FootnoteReference"/>
          <w:rFonts w:ascii="Times New Roman" w:hAnsi="Times New Roman" w:cs="Times New Roman"/>
          <w:vertAlign w:val="superscript"/>
        </w:rPr>
        <w:footnoteReference w:id="67"/>
      </w:r>
    </w:p>
    <w:p w:rsidR="005146CF" w:rsidRPr="00534155" w:rsidRDefault="005146CF"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5146CF"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 </w:t>
      </w:r>
      <w:r w:rsidR="001C6202" w:rsidRPr="00534155">
        <w:rPr>
          <w:rFonts w:ascii="Times New Roman" w:hAnsi="Times New Roman" w:cs="Times New Roman"/>
        </w:rPr>
        <w:t xml:space="preserve">This decision squared soundly with the Michigan Supreme Court’s decision in </w:t>
      </w:r>
      <w:r w:rsidR="007800B3">
        <w:rPr>
          <w:rFonts w:ascii="Times New Roman" w:hAnsi="Times New Roman" w:cs="Times New Roman"/>
          <w:i/>
          <w:iCs/>
        </w:rPr>
        <w:t>Wayne Co. Bd.</w:t>
      </w:r>
      <w:r w:rsidR="001C6202" w:rsidRPr="00534155">
        <w:rPr>
          <w:rFonts w:ascii="Times New Roman" w:hAnsi="Times New Roman" w:cs="Times New Roman"/>
          <w:i/>
          <w:iCs/>
        </w:rPr>
        <w:t xml:space="preserve"> of Roa</w:t>
      </w:r>
      <w:r w:rsidR="004D01CA">
        <w:rPr>
          <w:rFonts w:ascii="Times New Roman" w:hAnsi="Times New Roman" w:cs="Times New Roman"/>
          <w:i/>
          <w:iCs/>
        </w:rPr>
        <w:t xml:space="preserve">d </w:t>
      </w:r>
      <w:proofErr w:type="spellStart"/>
      <w:r w:rsidR="004D01CA">
        <w:rPr>
          <w:rFonts w:ascii="Times New Roman" w:hAnsi="Times New Roman" w:cs="Times New Roman"/>
          <w:i/>
          <w:iCs/>
        </w:rPr>
        <w:t>C</w:t>
      </w:r>
      <w:r w:rsidR="007800B3">
        <w:rPr>
          <w:rFonts w:ascii="Times New Roman" w:hAnsi="Times New Roman" w:cs="Times New Roman"/>
          <w:i/>
          <w:iCs/>
        </w:rPr>
        <w:t>omm’nrs</w:t>
      </w:r>
      <w:proofErr w:type="spellEnd"/>
      <w:r w:rsidR="007800B3">
        <w:rPr>
          <w:rFonts w:ascii="Times New Roman" w:hAnsi="Times New Roman" w:cs="Times New Roman"/>
          <w:i/>
          <w:iCs/>
        </w:rPr>
        <w:t xml:space="preserve">. </w:t>
      </w:r>
      <w:proofErr w:type="gramStart"/>
      <w:r w:rsidR="004D01CA">
        <w:rPr>
          <w:rFonts w:ascii="Times New Roman" w:hAnsi="Times New Roman" w:cs="Times New Roman"/>
          <w:i/>
          <w:iCs/>
        </w:rPr>
        <w:t>v. GLS</w:t>
      </w:r>
      <w:proofErr w:type="gramEnd"/>
      <w:r w:rsidR="004D01CA">
        <w:rPr>
          <w:rFonts w:ascii="Times New Roman" w:hAnsi="Times New Roman" w:cs="Times New Roman"/>
          <w:i/>
          <w:iCs/>
        </w:rPr>
        <w:t xml:space="preserve"> LeasCo</w:t>
      </w:r>
      <w:r w:rsidR="001C6202" w:rsidRPr="00534155">
        <w:rPr>
          <w:rStyle w:val="FootnoteReference"/>
          <w:rFonts w:ascii="Times New Roman" w:hAnsi="Times New Roman" w:cs="Times New Roman"/>
          <w:vertAlign w:val="superscript"/>
        </w:rPr>
        <w:footnoteReference w:id="68"/>
      </w:r>
      <w:r w:rsidR="004D01CA">
        <w:rPr>
          <w:rFonts w:ascii="Times New Roman" w:hAnsi="Times New Roman" w:cs="Times New Roman"/>
          <w:iCs/>
        </w:rPr>
        <w:t>,</w:t>
      </w:r>
      <w:r w:rsidR="001C6202" w:rsidRPr="00534155">
        <w:rPr>
          <w:rFonts w:ascii="Times New Roman" w:hAnsi="Times New Roman" w:cs="Times New Roman"/>
        </w:rPr>
        <w:t xml:space="preserve"> in which the Court stated that</w:t>
      </w:r>
      <w:r w:rsidR="004D01CA">
        <w:rPr>
          <w:rFonts w:ascii="Times New Roman" w:hAnsi="Times New Roman" w:cs="Times New Roman"/>
        </w:rPr>
        <w:t xml:space="preserve"> sales, not too remote in time and not shown to lack probative valu</w:t>
      </w:r>
      <w:r w:rsidR="009263B5">
        <w:rPr>
          <w:rFonts w:ascii="Times New Roman" w:hAnsi="Times New Roman" w:cs="Times New Roman"/>
        </w:rPr>
        <w:t>e,</w:t>
      </w:r>
      <w:r w:rsidR="001C6202" w:rsidRPr="00534155">
        <w:rPr>
          <w:rFonts w:ascii="Times New Roman" w:hAnsi="Times New Roman" w:cs="Times New Roman"/>
        </w:rPr>
        <w:t xml:space="preserve"> were </w:t>
      </w:r>
      <w:r w:rsidR="004D01CA">
        <w:rPr>
          <w:rFonts w:ascii="Times New Roman" w:hAnsi="Times New Roman" w:cs="Times New Roman"/>
        </w:rPr>
        <w:t>admis</w:t>
      </w:r>
      <w:r w:rsidR="009263B5">
        <w:rPr>
          <w:rFonts w:ascii="Times New Roman" w:hAnsi="Times New Roman" w:cs="Times New Roman"/>
        </w:rPr>
        <w:t>si</w:t>
      </w:r>
      <w:r w:rsidR="004D01CA">
        <w:rPr>
          <w:rFonts w:ascii="Times New Roman" w:hAnsi="Times New Roman" w:cs="Times New Roman"/>
        </w:rPr>
        <w:t>ble</w:t>
      </w:r>
      <w:r w:rsidR="001C6202" w:rsidRPr="00534155">
        <w:rPr>
          <w:rFonts w:ascii="Times New Roman" w:hAnsi="Times New Roman" w:cs="Times New Roman"/>
        </w:rPr>
        <w:t>.</w:t>
      </w:r>
      <w:r w:rsidR="001C6202" w:rsidRPr="00534155">
        <w:rPr>
          <w:rStyle w:val="FootnoteReference"/>
          <w:rFonts w:ascii="Times New Roman" w:hAnsi="Times New Roman" w:cs="Times New Roman"/>
          <w:vertAlign w:val="superscript"/>
        </w:rPr>
        <w:footnoteReference w:id="69"/>
      </w:r>
    </w:p>
    <w:p w:rsidR="009263B5" w:rsidRPr="00C621AA" w:rsidRDefault="001C6202" w:rsidP="00C621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cs="Times New Roman"/>
        </w:rPr>
      </w:pPr>
      <w:r w:rsidRPr="00534155">
        <w:rPr>
          <w:rFonts w:ascii="Times New Roman" w:hAnsi="Times New Roman" w:cs="Times New Roman"/>
        </w:rPr>
        <w:t>In light of the permissive standard applied to post-taking sales, it appears that Michigan courts have addressed the different types of retr</w:t>
      </w:r>
      <w:r w:rsidR="009263B5">
        <w:rPr>
          <w:rFonts w:ascii="Times New Roman" w:hAnsi="Times New Roman" w:cs="Times New Roman"/>
        </w:rPr>
        <w:t>ospective evidence on an issue-by-</w:t>
      </w:r>
      <w:r w:rsidRPr="00534155">
        <w:rPr>
          <w:rFonts w:ascii="Times New Roman" w:hAnsi="Times New Roman" w:cs="Times New Roman"/>
        </w:rPr>
        <w:t>issue basis, ac</w:t>
      </w:r>
      <w:r w:rsidR="004D01CA">
        <w:rPr>
          <w:rFonts w:ascii="Times New Roman" w:hAnsi="Times New Roman" w:cs="Times New Roman"/>
        </w:rPr>
        <w:t>hieving somewhat mixed results.</w:t>
      </w:r>
      <w:r w:rsidRPr="00534155">
        <w:rPr>
          <w:rFonts w:ascii="Times New Roman" w:hAnsi="Times New Roman" w:cs="Times New Roman"/>
        </w:rPr>
        <w:t xml:space="preserve"> Based on public policy grounds, the Michigan Supreme Court has refused to look retrospectively to determine whether a party was gu</w:t>
      </w:r>
      <w:r w:rsidR="009263B5">
        <w:rPr>
          <w:rFonts w:ascii="Times New Roman" w:hAnsi="Times New Roman" w:cs="Times New Roman"/>
        </w:rPr>
        <w:t>ilty of educational malpractice</w:t>
      </w:r>
      <w:r w:rsidRPr="00534155">
        <w:rPr>
          <w:rStyle w:val="FootnoteReference"/>
          <w:rFonts w:ascii="Times New Roman" w:hAnsi="Times New Roman" w:cs="Times New Roman"/>
          <w:vertAlign w:val="superscript"/>
        </w:rPr>
        <w:footnoteReference w:id="70"/>
      </w:r>
      <w:r w:rsidR="00CB398A">
        <w:rPr>
          <w:rFonts w:ascii="Times New Roman" w:hAnsi="Times New Roman" w:cs="Times New Roman"/>
        </w:rPr>
        <w:t>, and as</w:t>
      </w:r>
      <w:r w:rsidR="009263B5">
        <w:rPr>
          <w:rFonts w:ascii="Times New Roman" w:hAnsi="Times New Roman" w:cs="Times New Roman"/>
        </w:rPr>
        <w:t xml:space="preserve"> discussed later, </w:t>
      </w:r>
      <w:r w:rsidRPr="00534155">
        <w:rPr>
          <w:rFonts w:ascii="Times New Roman" w:hAnsi="Times New Roman" w:cs="Times New Roman"/>
        </w:rPr>
        <w:t xml:space="preserve">to admit evidence of a rezoning occurring </w:t>
      </w:r>
      <w:r w:rsidR="009263B5">
        <w:rPr>
          <w:rFonts w:ascii="Times New Roman" w:hAnsi="Times New Roman" w:cs="Times New Roman"/>
        </w:rPr>
        <w:t xml:space="preserve">2½ </w:t>
      </w:r>
      <w:r w:rsidRPr="00534155">
        <w:rPr>
          <w:rFonts w:ascii="Times New Roman" w:hAnsi="Times New Roman" w:cs="Times New Roman"/>
        </w:rPr>
        <w:t>years after a taking.</w:t>
      </w:r>
      <w:r w:rsidRPr="00534155">
        <w:rPr>
          <w:rStyle w:val="FootnoteReference"/>
          <w:rFonts w:ascii="Times New Roman" w:hAnsi="Times New Roman" w:cs="Times New Roman"/>
          <w:vertAlign w:val="superscript"/>
        </w:rPr>
        <w:footnoteReference w:id="71"/>
      </w:r>
      <w:r w:rsidR="009263B5">
        <w:rPr>
          <w:rFonts w:ascii="Times New Roman" w:hAnsi="Times New Roman" w:cs="Times New Roman"/>
        </w:rPr>
        <w:t xml:space="preserve"> </w:t>
      </w:r>
      <w:r w:rsidRPr="00534155">
        <w:rPr>
          <w:rFonts w:ascii="Times New Roman" w:hAnsi="Times New Roman" w:cs="Times New Roman"/>
        </w:rPr>
        <w:t xml:space="preserve">The </w:t>
      </w:r>
      <w:r w:rsidR="00CB398A">
        <w:rPr>
          <w:rFonts w:ascii="Times New Roman" w:hAnsi="Times New Roman" w:cs="Times New Roman"/>
        </w:rPr>
        <w:t>c</w:t>
      </w:r>
      <w:r w:rsidRPr="00534155">
        <w:rPr>
          <w:rFonts w:ascii="Times New Roman" w:hAnsi="Times New Roman" w:cs="Times New Roman"/>
        </w:rPr>
        <w:t>ourt has also noted that in cases of the constructive discharge of an employee, the date of the discharge is when the employee elects to leave, and not when the employer’s harmful actions occurred.</w:t>
      </w:r>
      <w:r w:rsidRPr="00534155">
        <w:rPr>
          <w:rStyle w:val="FootnoteReference"/>
          <w:rFonts w:ascii="Times New Roman" w:hAnsi="Times New Roman" w:cs="Times New Roman"/>
          <w:vertAlign w:val="superscript"/>
        </w:rPr>
        <w:footnoteReference w:id="72"/>
      </w:r>
      <w:r w:rsidRPr="00534155">
        <w:rPr>
          <w:rFonts w:ascii="Times New Roman" w:hAnsi="Times New Roman" w:cs="Times New Roman"/>
        </w:rPr>
        <w:t xml:space="preserve"> Because such decisions are often situational and may be highly policy driven, </w:t>
      </w:r>
      <w:r w:rsidRPr="00534155">
        <w:rPr>
          <w:rFonts w:ascii="Times New Roman" w:hAnsi="Times New Roman" w:cs="Times New Roman"/>
        </w:rPr>
        <w:lastRenderedPageBreak/>
        <w:t>it is important to consider decisions in the jurisdiction regarding retrospective evidence i</w:t>
      </w:r>
      <w:r w:rsidR="00C621AA">
        <w:rPr>
          <w:rFonts w:ascii="Times New Roman" w:hAnsi="Times New Roman" w:cs="Times New Roman"/>
        </w:rPr>
        <w:t>n these other contexts as well.</w:t>
      </w:r>
    </w:p>
    <w:p w:rsidR="001C6202" w:rsidRPr="00534155" w:rsidRDefault="00CB398A" w:rsidP="00CB39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g.</w:t>
      </w:r>
      <w:r w:rsidR="001C6202" w:rsidRPr="00534155">
        <w:rPr>
          <w:rFonts w:ascii="Times New Roman" w:hAnsi="Times New Roman" w:cs="Times New Roman"/>
          <w:b/>
          <w:bCs/>
        </w:rPr>
        <w:tab/>
        <w:t>Missouri</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State Hwy. Comm. v. Wertz</w:t>
      </w:r>
      <w:r w:rsidRPr="00534155">
        <w:rPr>
          <w:rStyle w:val="FootnoteReference"/>
          <w:rFonts w:ascii="Times New Roman" w:hAnsi="Times New Roman" w:cs="Times New Roman"/>
          <w:vertAlign w:val="superscript"/>
        </w:rPr>
        <w:footnoteReference w:id="73"/>
      </w:r>
      <w:r w:rsidR="007800B3">
        <w:rPr>
          <w:rFonts w:ascii="Times New Roman" w:hAnsi="Times New Roman" w:cs="Times New Roman"/>
          <w:i/>
          <w:iCs/>
        </w:rPr>
        <w:t>,</w:t>
      </w:r>
      <w:r w:rsidRPr="00534155">
        <w:rPr>
          <w:rFonts w:ascii="Times New Roman" w:hAnsi="Times New Roman" w:cs="Times New Roman"/>
        </w:rPr>
        <w:t xml:space="preserve"> the Missouri Supreme Court considered the </w:t>
      </w:r>
      <w:r w:rsidR="00CB398A">
        <w:rPr>
          <w:rFonts w:ascii="Times New Roman" w:hAnsi="Times New Roman" w:cs="Times New Roman"/>
        </w:rPr>
        <w:t>trial co</w:t>
      </w:r>
      <w:r w:rsidR="00E33308">
        <w:rPr>
          <w:rFonts w:ascii="Times New Roman" w:hAnsi="Times New Roman" w:cs="Times New Roman"/>
        </w:rPr>
        <w:t>u</w:t>
      </w:r>
      <w:r w:rsidR="00CB398A">
        <w:rPr>
          <w:rFonts w:ascii="Times New Roman" w:hAnsi="Times New Roman" w:cs="Times New Roman"/>
        </w:rPr>
        <w:t>r</w:t>
      </w:r>
      <w:r w:rsidR="00E33308">
        <w:rPr>
          <w:rFonts w:ascii="Times New Roman" w:hAnsi="Times New Roman" w:cs="Times New Roman"/>
        </w:rPr>
        <w:t xml:space="preserve">t’s </w:t>
      </w:r>
      <w:r w:rsidRPr="00534155">
        <w:rPr>
          <w:rFonts w:ascii="Times New Roman" w:hAnsi="Times New Roman" w:cs="Times New Roman"/>
        </w:rPr>
        <w:t xml:space="preserve">evidentiary ruling </w:t>
      </w:r>
      <w:r w:rsidR="00E33308">
        <w:rPr>
          <w:rFonts w:ascii="Times New Roman" w:hAnsi="Times New Roman" w:cs="Times New Roman"/>
        </w:rPr>
        <w:t>that</w:t>
      </w:r>
      <w:r w:rsidRPr="00534155">
        <w:rPr>
          <w:rFonts w:ascii="Times New Roman" w:hAnsi="Times New Roman" w:cs="Times New Roman"/>
        </w:rPr>
        <w:t xml:space="preserve"> excluded sales nine months and twelve months after the </w:t>
      </w:r>
      <w:r w:rsidR="00E33308">
        <w:rPr>
          <w:rFonts w:ascii="Times New Roman" w:hAnsi="Times New Roman" w:cs="Times New Roman"/>
        </w:rPr>
        <w:t xml:space="preserve">date of </w:t>
      </w:r>
      <w:r w:rsidRPr="00534155">
        <w:rPr>
          <w:rFonts w:ascii="Times New Roman" w:hAnsi="Times New Roman" w:cs="Times New Roman"/>
        </w:rPr>
        <w:t>taking.</w:t>
      </w:r>
      <w:r w:rsidR="00E33308">
        <w:rPr>
          <w:rFonts w:ascii="Times New Roman" w:hAnsi="Times New Roman" w:cs="Times New Roman"/>
        </w:rPr>
        <w:t xml:space="preserve"> The c</w:t>
      </w:r>
      <w:r w:rsidRPr="00534155">
        <w:rPr>
          <w:rFonts w:ascii="Times New Roman" w:hAnsi="Times New Roman" w:cs="Times New Roman"/>
        </w:rPr>
        <w:t>ourt stated that despite finding authority both for and against admitting evidence of post-taking sales, “the better rule is that evidence of comparable sales made after the date of taking is generally as admissible as evidence of sales made prior to the taking and subject to the same discretionary authority of the trial court.”</w:t>
      </w:r>
      <w:r w:rsidRPr="00534155">
        <w:rPr>
          <w:rStyle w:val="FootnoteReference"/>
          <w:rFonts w:ascii="Times New Roman" w:hAnsi="Times New Roman" w:cs="Times New Roman"/>
          <w:vertAlign w:val="superscript"/>
        </w:rPr>
        <w:footnoteReference w:id="74"/>
      </w:r>
      <w:r w:rsidRPr="00534155">
        <w:rPr>
          <w:rFonts w:ascii="Times New Roman" w:hAnsi="Times New Roman" w:cs="Times New Roman"/>
        </w:rPr>
        <w:t xml:space="preserve"> In support of this holding, the </w:t>
      </w:r>
      <w:r w:rsidR="00743928">
        <w:rPr>
          <w:rFonts w:ascii="Times New Roman" w:hAnsi="Times New Roman" w:cs="Times New Roman"/>
        </w:rPr>
        <w:t>c</w:t>
      </w:r>
      <w:r w:rsidRPr="00534155">
        <w:rPr>
          <w:rFonts w:ascii="Times New Roman" w:hAnsi="Times New Roman" w:cs="Times New Roman"/>
        </w:rPr>
        <w:t xml:space="preserve">ourt cited directly from </w:t>
      </w:r>
      <w:r w:rsidRPr="00534155">
        <w:rPr>
          <w:rFonts w:ascii="Times New Roman" w:hAnsi="Times New Roman" w:cs="Times New Roman"/>
          <w:i/>
          <w:iCs/>
        </w:rPr>
        <w:t>Heirs of Halemano Kapahi</w:t>
      </w:r>
      <w:r w:rsidR="00743928">
        <w:rPr>
          <w:rFonts w:ascii="Times New Roman" w:hAnsi="Times New Roman" w:cs="Times New Roman"/>
        </w:rPr>
        <w:t>, noting,</w:t>
      </w:r>
      <w:r w:rsidRPr="00534155">
        <w:rPr>
          <w:rFonts w:ascii="Times New Roman" w:hAnsi="Times New Roman" w:cs="Times New Roman"/>
        </w:rPr>
        <w:t xml:space="preserve"> “[i]t makes no difference whether the transaction occurred before or after the date of condemnation so long as it is not too remote a period of time and the land</w:t>
      </w:r>
      <w:r w:rsidR="00E33308">
        <w:rPr>
          <w:rFonts w:ascii="Times New Roman" w:hAnsi="Times New Roman" w:cs="Times New Roman"/>
        </w:rPr>
        <w:t xml:space="preserve"> is reasonably comparable. . . </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75"/>
      </w:r>
    </w:p>
    <w:p w:rsidR="001C6202" w:rsidRPr="00534155" w:rsidRDefault="00743928" w:rsidP="007439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h.</w:t>
      </w:r>
      <w:r w:rsidR="001C6202" w:rsidRPr="00534155">
        <w:rPr>
          <w:rFonts w:ascii="Times New Roman" w:hAnsi="Times New Roman" w:cs="Times New Roman"/>
          <w:b/>
          <w:bCs/>
        </w:rPr>
        <w:tab/>
        <w:t>North Carolina</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Departm</w:t>
      </w:r>
      <w:r w:rsidR="007800B3">
        <w:rPr>
          <w:rFonts w:ascii="Times New Roman" w:hAnsi="Times New Roman" w:cs="Times New Roman"/>
          <w:i/>
          <w:iCs/>
        </w:rPr>
        <w:t>ent of Transportation v. Tilley</w:t>
      </w:r>
      <w:r w:rsidRPr="00534155">
        <w:rPr>
          <w:rStyle w:val="FootnoteReference"/>
          <w:rFonts w:ascii="Times New Roman" w:hAnsi="Times New Roman" w:cs="Times New Roman"/>
          <w:vertAlign w:val="superscript"/>
        </w:rPr>
        <w:footnoteReference w:id="76"/>
      </w:r>
      <w:r w:rsidR="007800B3">
        <w:rPr>
          <w:rFonts w:ascii="Times New Roman" w:hAnsi="Times New Roman" w:cs="Times New Roman"/>
          <w:i/>
          <w:iCs/>
        </w:rPr>
        <w:t>,</w:t>
      </w:r>
      <w:r w:rsidRPr="00534155">
        <w:rPr>
          <w:rFonts w:ascii="Times New Roman" w:hAnsi="Times New Roman" w:cs="Times New Roman"/>
        </w:rPr>
        <w:t xml:space="preserve"> a North Carolina Court of Appeals reversed a trial court’s exclusion of</w:t>
      </w:r>
      <w:r w:rsidR="00E33308">
        <w:rPr>
          <w:rFonts w:ascii="Times New Roman" w:hAnsi="Times New Roman" w:cs="Times New Roman"/>
        </w:rPr>
        <w:t xml:space="preserve"> post-taking comparable sales. </w:t>
      </w:r>
      <w:r w:rsidRPr="00534155">
        <w:rPr>
          <w:rFonts w:ascii="Times New Roman" w:hAnsi="Times New Roman" w:cs="Times New Roman"/>
        </w:rPr>
        <w:t>The two excluded sales had occurred ten and twelve months following the condemnation, and were excluded by the trial court solely because they occurred after the date of the taking.</w:t>
      </w:r>
      <w:r w:rsidRPr="00534155">
        <w:rPr>
          <w:rStyle w:val="FootnoteReference"/>
          <w:rFonts w:ascii="Times New Roman" w:hAnsi="Times New Roman" w:cs="Times New Roman"/>
          <w:vertAlign w:val="superscript"/>
        </w:rPr>
        <w:footnoteReference w:id="77"/>
      </w:r>
      <w:r w:rsidR="00E33308">
        <w:rPr>
          <w:rFonts w:ascii="Times New Roman" w:hAnsi="Times New Roman" w:cs="Times New Roman"/>
        </w:rPr>
        <w:t xml:space="preserve"> </w:t>
      </w:r>
      <w:r w:rsidRPr="00534155">
        <w:rPr>
          <w:rFonts w:ascii="Times New Roman" w:hAnsi="Times New Roman" w:cs="Times New Roman"/>
        </w:rPr>
        <w:t xml:space="preserve">In concluding that the trial court had abused its discretion in excluding the sales in question, the Court of Appeals stated that “[w]hen the value of property is directly at issue, voluntary sales of property similar in nature, location, and condition to the land involved in the suit are admissible as circumstantial evidence of the condemned land's </w:t>
      </w:r>
      <w:r w:rsidRPr="00534155">
        <w:rPr>
          <w:rFonts w:ascii="Times New Roman" w:hAnsi="Times New Roman" w:cs="Times New Roman"/>
        </w:rPr>
        <w:lastRenderedPageBreak/>
        <w:t>value, so long as the voluntary sales are not too remote in time.”</w:t>
      </w:r>
      <w:r w:rsidRPr="00534155">
        <w:rPr>
          <w:rStyle w:val="FootnoteReference"/>
          <w:rFonts w:ascii="Times New Roman" w:hAnsi="Times New Roman" w:cs="Times New Roman"/>
          <w:vertAlign w:val="superscript"/>
        </w:rPr>
        <w:footnoteReference w:id="78"/>
      </w:r>
      <w:r w:rsidR="00743928">
        <w:rPr>
          <w:rFonts w:ascii="Times New Roman" w:hAnsi="Times New Roman" w:cs="Times New Roman"/>
        </w:rPr>
        <w:t xml:space="preserve"> The c</w:t>
      </w:r>
      <w:r w:rsidRPr="00534155">
        <w:rPr>
          <w:rFonts w:ascii="Times New Roman" w:hAnsi="Times New Roman" w:cs="Times New Roman"/>
        </w:rPr>
        <w:t>ourt noted that “[w]hether the properties are sufficiently similar is a matter within the sound discretion of the trial court.”</w:t>
      </w:r>
      <w:r w:rsidRPr="00534155">
        <w:rPr>
          <w:rStyle w:val="FootnoteReference"/>
          <w:rFonts w:ascii="Times New Roman" w:hAnsi="Times New Roman" w:cs="Times New Roman"/>
          <w:vertAlign w:val="superscript"/>
        </w:rPr>
        <w:footnoteReference w:id="79"/>
      </w:r>
      <w:r w:rsidRPr="00534155">
        <w:rPr>
          <w:rFonts w:ascii="Times New Roman" w:hAnsi="Times New Roman" w:cs="Times New Roman"/>
        </w:rPr>
        <w:t xml:space="preserve"> Finally, the </w:t>
      </w:r>
      <w:r w:rsidR="00743928">
        <w:rPr>
          <w:rFonts w:ascii="Times New Roman" w:hAnsi="Times New Roman" w:cs="Times New Roman"/>
        </w:rPr>
        <w:t>c</w:t>
      </w:r>
      <w:r w:rsidRPr="00534155">
        <w:rPr>
          <w:rFonts w:ascii="Times New Roman" w:hAnsi="Times New Roman" w:cs="Times New Roman"/>
        </w:rPr>
        <w:t>ourt held that “[w]e conclude that the trial court abused its discretion here because it excluded the two 1997 sales solely because they occurred after the date of taking.”</w:t>
      </w:r>
      <w:r w:rsidRPr="00534155">
        <w:rPr>
          <w:rStyle w:val="FootnoteReference"/>
          <w:rFonts w:ascii="Times New Roman" w:hAnsi="Times New Roman" w:cs="Times New Roman"/>
          <w:vertAlign w:val="superscript"/>
        </w:rPr>
        <w:footnoteReference w:id="80"/>
      </w:r>
      <w:r w:rsidRPr="00534155">
        <w:rPr>
          <w:rFonts w:ascii="Times New Roman" w:hAnsi="Times New Roman" w:cs="Times New Roman"/>
        </w:rPr>
        <w:t xml:space="preserve"> The </w:t>
      </w:r>
      <w:r w:rsidR="00743928">
        <w:rPr>
          <w:rFonts w:ascii="Times New Roman" w:hAnsi="Times New Roman" w:cs="Times New Roman"/>
        </w:rPr>
        <w:t>c</w:t>
      </w:r>
      <w:r w:rsidRPr="00534155">
        <w:rPr>
          <w:rFonts w:ascii="Times New Roman" w:hAnsi="Times New Roman" w:cs="Times New Roman"/>
        </w:rPr>
        <w:t>ourt expanded on its holding, further stating that:</w:t>
      </w:r>
    </w:p>
    <w:p w:rsidR="001C6202" w:rsidRPr="00534155" w:rsidRDefault="001C6202" w:rsidP="00E3330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Plaintiff contends, and the trial court apparently agreed, that any voluntary sales occurring after the date of taking, such as the two 1997 sales here, are </w:t>
      </w:r>
      <w:r w:rsidRPr="00534155">
        <w:rPr>
          <w:rFonts w:ascii="Times New Roman" w:hAnsi="Times New Roman" w:cs="Times New Roman"/>
          <w:i/>
          <w:iCs/>
        </w:rPr>
        <w:t>per se</w:t>
      </w:r>
      <w:r w:rsidRPr="00534155">
        <w:rPr>
          <w:rFonts w:ascii="Times New Roman" w:hAnsi="Times New Roman" w:cs="Times New Roman"/>
        </w:rPr>
        <w:t xml:space="preserve"> excludable. We disagree with plaintiff's stringent interpretation of the law in this State. </w:t>
      </w:r>
      <w:r w:rsidRPr="00534155">
        <w:rPr>
          <w:rFonts w:ascii="Times New Roman" w:hAnsi="Times New Roman" w:cs="Times New Roman"/>
          <w:i/>
          <w:iCs/>
        </w:rPr>
        <w:t>Our courts have only required that the similar sales not be too remote in time from the date of the taking; nowhere have we affirmatively required that the sales also be prior to the taking</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81"/>
      </w:r>
    </w:p>
    <w:p w:rsidR="001C6202" w:rsidRPr="00534155" w:rsidRDefault="001C6202"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743928" w:rsidP="0074392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i.</w:t>
      </w:r>
      <w:r w:rsidR="001C6202" w:rsidRPr="00534155">
        <w:rPr>
          <w:rFonts w:ascii="Times New Roman" w:hAnsi="Times New Roman" w:cs="Times New Roman"/>
          <w:b/>
          <w:bCs/>
        </w:rPr>
        <w:tab/>
        <w:t>Connecticut</w:t>
      </w:r>
    </w:p>
    <w:p w:rsidR="001C6202" w:rsidRPr="00534155" w:rsidRDefault="001C6202" w:rsidP="00E33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Tilcon Minerals v. Commissioner of Transportation</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82"/>
      </w:r>
      <w:r w:rsidRPr="00534155">
        <w:rPr>
          <w:rFonts w:ascii="Times New Roman" w:hAnsi="Times New Roman" w:cs="Times New Roman"/>
        </w:rPr>
        <w:t xml:space="preserve"> the </w:t>
      </w:r>
      <w:r w:rsidR="00743928">
        <w:rPr>
          <w:rFonts w:ascii="Times New Roman" w:hAnsi="Times New Roman" w:cs="Times New Roman"/>
        </w:rPr>
        <w:t>c</w:t>
      </w:r>
      <w:r w:rsidRPr="00534155">
        <w:rPr>
          <w:rFonts w:ascii="Times New Roman" w:hAnsi="Times New Roman" w:cs="Times New Roman"/>
        </w:rPr>
        <w:t xml:space="preserve">ourt held that the admission of evidence </w:t>
      </w:r>
      <w:r w:rsidR="00E33308">
        <w:rPr>
          <w:rFonts w:ascii="Times New Roman" w:hAnsi="Times New Roman" w:cs="Times New Roman"/>
        </w:rPr>
        <w:t>from</w:t>
      </w:r>
      <w:r w:rsidRPr="00534155">
        <w:rPr>
          <w:rFonts w:ascii="Times New Roman" w:hAnsi="Times New Roman" w:cs="Times New Roman"/>
        </w:rPr>
        <w:t xml:space="preserve"> test pits dug after the date of taking were relevant evidence, despite the claim that </w:t>
      </w:r>
      <w:r w:rsidR="00E33308">
        <w:rPr>
          <w:rFonts w:ascii="Times New Roman" w:hAnsi="Times New Roman" w:cs="Times New Roman"/>
        </w:rPr>
        <w:t>no one had such knowledge about the property on the date of taking.</w:t>
      </w:r>
      <w:r w:rsidRPr="00534155">
        <w:rPr>
          <w:rFonts w:ascii="Times New Roman" w:hAnsi="Times New Roman" w:cs="Times New Roman"/>
        </w:rPr>
        <w:t xml:space="preserve"> </w:t>
      </w:r>
      <w:r w:rsidR="00E33308">
        <w:rPr>
          <w:rFonts w:ascii="Times New Roman" w:hAnsi="Times New Roman" w:cs="Times New Roman"/>
          <w:i/>
        </w:rPr>
        <w:t>Tilcon</w:t>
      </w:r>
      <w:r w:rsidRPr="00534155">
        <w:rPr>
          <w:rFonts w:ascii="Times New Roman" w:hAnsi="Times New Roman" w:cs="Times New Roman"/>
        </w:rPr>
        <w:t xml:space="preserve"> relied on the Supreme Court of Connecticut</w:t>
      </w:r>
      <w:r w:rsidR="00743928">
        <w:rPr>
          <w:rFonts w:ascii="Times New Roman" w:hAnsi="Times New Roman" w:cs="Times New Roman"/>
        </w:rPr>
        <w:t>’s</w:t>
      </w:r>
      <w:r w:rsidRPr="00534155">
        <w:rPr>
          <w:rFonts w:ascii="Times New Roman" w:hAnsi="Times New Roman" w:cs="Times New Roman"/>
        </w:rPr>
        <w:t xml:space="preserve"> decision in </w:t>
      </w:r>
      <w:r w:rsidRPr="00534155">
        <w:rPr>
          <w:rFonts w:ascii="Times New Roman" w:hAnsi="Times New Roman" w:cs="Times New Roman"/>
          <w:i/>
          <w:iCs/>
        </w:rPr>
        <w:t xml:space="preserve">Tandet v. Urban Redevelopment </w:t>
      </w:r>
      <w:r w:rsidR="00294955" w:rsidRPr="00534155">
        <w:rPr>
          <w:rFonts w:ascii="Times New Roman" w:hAnsi="Times New Roman" w:cs="Times New Roman"/>
          <w:i/>
          <w:iCs/>
        </w:rPr>
        <w:t>Commission</w:t>
      </w:r>
      <w:r w:rsidRPr="00534155">
        <w:rPr>
          <w:rStyle w:val="FootnoteReference"/>
          <w:rFonts w:ascii="Times New Roman" w:hAnsi="Times New Roman" w:cs="Times New Roman"/>
          <w:vertAlign w:val="superscript"/>
        </w:rPr>
        <w:footnoteReference w:id="83"/>
      </w:r>
      <w:r w:rsidR="00E33308">
        <w:rPr>
          <w:rFonts w:ascii="Times New Roman" w:hAnsi="Times New Roman" w:cs="Times New Roman"/>
          <w:i/>
          <w:iCs/>
        </w:rPr>
        <w:t>,</w:t>
      </w:r>
      <w:r w:rsidRPr="00534155">
        <w:rPr>
          <w:rFonts w:ascii="Times New Roman" w:hAnsi="Times New Roman" w:cs="Times New Roman"/>
        </w:rPr>
        <w:t xml:space="preserve"> which held that in calculating market value after a partial taking, “[E]vidence of actual damages caused by the taking is not to be received to alter the formula for awarding just compensation or to modify the legal effect of the taking, but to show more accurately the nature of the property interest taken by the condemnor.”</w:t>
      </w:r>
      <w:r w:rsidRPr="00534155">
        <w:rPr>
          <w:rStyle w:val="FootnoteReference"/>
          <w:rFonts w:ascii="Times New Roman" w:hAnsi="Times New Roman" w:cs="Times New Roman"/>
          <w:vertAlign w:val="superscript"/>
        </w:rPr>
        <w:footnoteReference w:id="84"/>
      </w:r>
      <w:r w:rsidR="00E33308">
        <w:rPr>
          <w:rFonts w:ascii="Times New Roman" w:hAnsi="Times New Roman" w:cs="Times New Roman"/>
        </w:rPr>
        <w:t xml:space="preserve"> </w:t>
      </w:r>
      <w:r w:rsidRPr="00534155">
        <w:rPr>
          <w:rFonts w:ascii="Times New Roman" w:hAnsi="Times New Roman" w:cs="Times New Roman"/>
        </w:rPr>
        <w:t xml:space="preserve">To this end, stated the </w:t>
      </w:r>
      <w:r w:rsidR="00743928">
        <w:rPr>
          <w:rFonts w:ascii="Times New Roman" w:hAnsi="Times New Roman" w:cs="Times New Roman"/>
        </w:rPr>
        <w:t>c</w:t>
      </w:r>
      <w:r w:rsidRPr="00534155">
        <w:rPr>
          <w:rFonts w:ascii="Times New Roman" w:hAnsi="Times New Roman" w:cs="Times New Roman"/>
        </w:rPr>
        <w:t xml:space="preserve">ourt, “[s]ince the court's function is to award just </w:t>
      </w:r>
      <w:r w:rsidRPr="00534155">
        <w:rPr>
          <w:rFonts w:ascii="Times New Roman" w:hAnsi="Times New Roman" w:cs="Times New Roman"/>
        </w:rPr>
        <w:lastRenderedPageBreak/>
        <w:t>compensation for the property taken, it is both unnecessary and misleading to rely upon "uncertain prophecy" instead of experience either to increase or to diminish a condemnation award.”</w:t>
      </w:r>
      <w:r w:rsidRPr="00534155">
        <w:rPr>
          <w:rStyle w:val="FootnoteReference"/>
          <w:rFonts w:ascii="Times New Roman" w:hAnsi="Times New Roman" w:cs="Times New Roman"/>
          <w:vertAlign w:val="superscript"/>
        </w:rPr>
        <w:footnoteReference w:id="85"/>
      </w:r>
    </w:p>
    <w:p w:rsidR="006B3FCE" w:rsidRPr="00534155" w:rsidRDefault="001C6202" w:rsidP="00E33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b/>
          <w:bCs/>
        </w:rPr>
      </w:pPr>
      <w:r w:rsidRPr="00534155">
        <w:rPr>
          <w:rFonts w:ascii="Times New Roman" w:hAnsi="Times New Roman" w:cs="Times New Roman"/>
          <w:b/>
          <w:bCs/>
        </w:rPr>
        <w:t>B.</w:t>
      </w:r>
      <w:r w:rsidRPr="00534155">
        <w:rPr>
          <w:rFonts w:ascii="Times New Roman" w:hAnsi="Times New Roman" w:cs="Times New Roman"/>
          <w:b/>
          <w:bCs/>
        </w:rPr>
        <w:tab/>
        <w:t>Jurisdictions Not Admitting Post-Taking Sales</w:t>
      </w:r>
    </w:p>
    <w:p w:rsidR="001C6202" w:rsidRPr="00534155" w:rsidRDefault="00E33308" w:rsidP="00E3330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Pr>
          <w:rFonts w:ascii="Times New Roman" w:hAnsi="Times New Roman" w:cs="Times New Roman"/>
        </w:rPr>
        <w:t xml:space="preserve">While the majority of jurisdictions admit post-taking comparable sales or leave it in the trial court’s discretion, some courts </w:t>
      </w:r>
      <w:r w:rsidR="001C6202" w:rsidRPr="00534155">
        <w:rPr>
          <w:rFonts w:ascii="Times New Roman" w:hAnsi="Times New Roman" w:cs="Times New Roman"/>
        </w:rPr>
        <w:t xml:space="preserve">have determined that sales occurring after the date of the taking </w:t>
      </w:r>
      <w:r>
        <w:rPr>
          <w:rFonts w:ascii="Times New Roman" w:hAnsi="Times New Roman" w:cs="Times New Roman"/>
        </w:rPr>
        <w:t xml:space="preserve">are inadmissible. Courts espousing this minority position find that such evidence may prove too prejudicial </w:t>
      </w:r>
      <w:r w:rsidR="001C6202" w:rsidRPr="00534155">
        <w:rPr>
          <w:rFonts w:ascii="Times New Roman" w:hAnsi="Times New Roman" w:cs="Times New Roman"/>
        </w:rPr>
        <w:t>and might not truly reflect the value of the property at the time of the taking.</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One </w:t>
      </w:r>
      <w:r w:rsidR="00E33308">
        <w:rPr>
          <w:rFonts w:ascii="Times New Roman" w:hAnsi="Times New Roman" w:cs="Times New Roman"/>
        </w:rPr>
        <w:t xml:space="preserve">such </w:t>
      </w:r>
      <w:r w:rsidRPr="00534155">
        <w:rPr>
          <w:rFonts w:ascii="Times New Roman" w:hAnsi="Times New Roman" w:cs="Times New Roman"/>
        </w:rPr>
        <w:t xml:space="preserve">jurisdiction </w:t>
      </w:r>
      <w:r w:rsidR="00E33308">
        <w:rPr>
          <w:rFonts w:ascii="Times New Roman" w:hAnsi="Times New Roman" w:cs="Times New Roman"/>
        </w:rPr>
        <w:t>is Louisiana.</w:t>
      </w:r>
      <w:r w:rsidRPr="00534155">
        <w:rPr>
          <w:rFonts w:ascii="Times New Roman" w:hAnsi="Times New Roman" w:cs="Times New Roman"/>
        </w:rPr>
        <w:t xml:space="preserve"> In </w:t>
      </w:r>
      <w:r w:rsidRPr="00534155">
        <w:rPr>
          <w:rFonts w:ascii="Times New Roman" w:hAnsi="Times New Roman" w:cs="Times New Roman"/>
          <w:i/>
          <w:iCs/>
        </w:rPr>
        <w:t>State, T</w:t>
      </w:r>
      <w:r w:rsidR="00E33308">
        <w:rPr>
          <w:rFonts w:ascii="Times New Roman" w:hAnsi="Times New Roman" w:cs="Times New Roman"/>
          <w:i/>
          <w:iCs/>
        </w:rPr>
        <w:t>hrough Dept., Hwy. v. Rosenblum</w:t>
      </w:r>
      <w:r w:rsidRPr="00E33308">
        <w:rPr>
          <w:rStyle w:val="FootnoteReference"/>
          <w:rFonts w:ascii="Times New Roman" w:hAnsi="Times New Roman" w:cs="Times New Roman"/>
          <w:iCs/>
          <w:vertAlign w:val="superscript"/>
        </w:rPr>
        <w:footnoteReference w:id="86"/>
      </w:r>
      <w:r w:rsidR="00E33308">
        <w:rPr>
          <w:rFonts w:ascii="Times New Roman" w:hAnsi="Times New Roman" w:cs="Times New Roman"/>
          <w:iCs/>
        </w:rPr>
        <w:t>,</w:t>
      </w:r>
      <w:r w:rsidRPr="00534155">
        <w:rPr>
          <w:rFonts w:ascii="Times New Roman" w:hAnsi="Times New Roman" w:cs="Times New Roman"/>
          <w:i/>
          <w:iCs/>
        </w:rPr>
        <w:t xml:space="preserve"> </w:t>
      </w:r>
      <w:r w:rsidR="00E33308">
        <w:rPr>
          <w:rFonts w:ascii="Times New Roman" w:hAnsi="Times New Roman" w:cs="Times New Roman"/>
        </w:rPr>
        <w:t>the c</w:t>
      </w:r>
      <w:r w:rsidRPr="00534155">
        <w:rPr>
          <w:rFonts w:ascii="Times New Roman" w:hAnsi="Times New Roman" w:cs="Times New Roman"/>
        </w:rPr>
        <w:t>ourt held that the admission of post-taking sales as comparable sales was inappropriate in determining the value of the property in question.</w:t>
      </w:r>
      <w:r w:rsidRPr="00534155">
        <w:rPr>
          <w:rStyle w:val="FootnoteReference"/>
          <w:rFonts w:ascii="Times New Roman" w:hAnsi="Times New Roman" w:cs="Times New Roman"/>
          <w:vertAlign w:val="superscript"/>
        </w:rPr>
        <w:footnoteReference w:id="87"/>
      </w:r>
      <w:r w:rsidR="00E33308">
        <w:rPr>
          <w:rFonts w:ascii="Times New Roman" w:hAnsi="Times New Roman" w:cs="Times New Roman"/>
        </w:rPr>
        <w:t xml:space="preserve"> </w:t>
      </w:r>
      <w:r w:rsidRPr="00534155">
        <w:rPr>
          <w:rFonts w:ascii="Times New Roman" w:hAnsi="Times New Roman" w:cs="Times New Roman"/>
        </w:rPr>
        <w:t>I</w:t>
      </w:r>
      <w:r w:rsidR="009619E2">
        <w:rPr>
          <w:rFonts w:ascii="Times New Roman" w:hAnsi="Times New Roman" w:cs="Times New Roman"/>
        </w:rPr>
        <w:t>n support of this holding, the c</w:t>
      </w:r>
      <w:r w:rsidRPr="00534155">
        <w:rPr>
          <w:rFonts w:ascii="Times New Roman" w:hAnsi="Times New Roman" w:cs="Times New Roman"/>
        </w:rPr>
        <w:t>ourt stated that “[i]n an effort to assure the similarity between a given comparable and the property expropriated, the courts have consistently held that transactions which followed the date of the taking should not be used.”</w:t>
      </w:r>
      <w:r w:rsidRPr="00534155">
        <w:rPr>
          <w:rStyle w:val="FootnoteReference"/>
          <w:rFonts w:ascii="Times New Roman" w:hAnsi="Times New Roman" w:cs="Times New Roman"/>
          <w:vertAlign w:val="superscript"/>
        </w:rPr>
        <w:footnoteReference w:id="88"/>
      </w:r>
      <w:r w:rsidR="009619E2">
        <w:rPr>
          <w:rFonts w:ascii="Times New Roman" w:hAnsi="Times New Roman" w:cs="Times New Roman"/>
        </w:rPr>
        <w:t xml:space="preserve"> The c</w:t>
      </w:r>
      <w:r w:rsidRPr="00534155">
        <w:rPr>
          <w:rFonts w:ascii="Times New Roman" w:hAnsi="Times New Roman" w:cs="Times New Roman"/>
        </w:rPr>
        <w:t>ourt acknowledged that post-taking transactions could be “considered in support of an appraiser’s finding of an annual increase in</w:t>
      </w:r>
      <w:r w:rsidR="00294955">
        <w:rPr>
          <w:rFonts w:ascii="Times New Roman" w:hAnsi="Times New Roman" w:cs="Times New Roman"/>
        </w:rPr>
        <w:t xml:space="preserve"> value antecedent to the taking</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89"/>
      </w:r>
      <w:r w:rsidR="00294955">
        <w:rPr>
          <w:rFonts w:ascii="Times New Roman" w:hAnsi="Times New Roman" w:cs="Times New Roman"/>
        </w:rPr>
        <w:t>,</w:t>
      </w:r>
      <w:r w:rsidRPr="00534155">
        <w:rPr>
          <w:rFonts w:ascii="Times New Roman" w:hAnsi="Times New Roman" w:cs="Times New Roman"/>
        </w:rPr>
        <w:t xml:space="preserve"> </w:t>
      </w:r>
      <w:r w:rsidR="00294955" w:rsidRPr="00534155">
        <w:rPr>
          <w:rFonts w:ascii="Times New Roman" w:hAnsi="Times New Roman" w:cs="Times New Roman"/>
        </w:rPr>
        <w:t>and</w:t>
      </w:r>
      <w:r w:rsidRPr="00534155">
        <w:rPr>
          <w:rFonts w:ascii="Times New Roman" w:hAnsi="Times New Roman" w:cs="Times New Roman"/>
        </w:rPr>
        <w:t xml:space="preserve"> that a post-taking transaction “can be useful in confirming the value of the property”</w:t>
      </w:r>
      <w:r w:rsidRPr="00534155">
        <w:rPr>
          <w:rStyle w:val="FootnoteReference"/>
          <w:rFonts w:ascii="Times New Roman" w:hAnsi="Times New Roman" w:cs="Times New Roman"/>
          <w:vertAlign w:val="superscript"/>
        </w:rPr>
        <w:footnoteReference w:id="90"/>
      </w:r>
      <w:r w:rsidR="00E33308">
        <w:rPr>
          <w:rFonts w:ascii="Times New Roman" w:hAnsi="Times New Roman" w:cs="Times New Roman"/>
        </w:rPr>
        <w:t xml:space="preserve"> by indicating market trends. Further, </w:t>
      </w:r>
      <w:r w:rsidRPr="00534155">
        <w:rPr>
          <w:rFonts w:ascii="Times New Roman" w:hAnsi="Times New Roman" w:cs="Times New Roman"/>
        </w:rPr>
        <w:t>“while a subsequent sale could not be used to determine the market value of expropriated property, such a sale was permissible for the purpose of showing the ‘market trend.’”</w:t>
      </w:r>
      <w:r w:rsidRPr="00534155">
        <w:rPr>
          <w:rStyle w:val="FootnoteReference"/>
          <w:rFonts w:ascii="Times New Roman" w:hAnsi="Times New Roman" w:cs="Times New Roman"/>
          <w:vertAlign w:val="superscript"/>
        </w:rPr>
        <w:footnoteReference w:id="91"/>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lastRenderedPageBreak/>
        <w:t xml:space="preserve">While the </w:t>
      </w:r>
      <w:r w:rsidR="009619E2">
        <w:rPr>
          <w:rFonts w:ascii="Times New Roman" w:hAnsi="Times New Roman" w:cs="Times New Roman"/>
        </w:rPr>
        <w:t>c</w:t>
      </w:r>
      <w:r w:rsidRPr="00534155">
        <w:rPr>
          <w:rFonts w:ascii="Times New Roman" w:hAnsi="Times New Roman" w:cs="Times New Roman"/>
        </w:rPr>
        <w:t xml:space="preserve">ourt in </w:t>
      </w:r>
      <w:r w:rsidRPr="00534155">
        <w:rPr>
          <w:rFonts w:ascii="Times New Roman" w:hAnsi="Times New Roman" w:cs="Times New Roman"/>
          <w:i/>
          <w:iCs/>
        </w:rPr>
        <w:t>Rosenblum</w:t>
      </w:r>
      <w:r w:rsidRPr="00534155">
        <w:rPr>
          <w:rFonts w:ascii="Times New Roman" w:hAnsi="Times New Roman" w:cs="Times New Roman"/>
        </w:rPr>
        <w:t xml:space="preserve"> noted that courts have not permitted post-taking sales to be used as comparable sales for the purposes of valuation, it also indicated that this is not an absolute as a matter of law, stating that “[f]uture cases may disclose a unique situation where there are no available pretaking comparables, thus necessitatin</w:t>
      </w:r>
      <w:r w:rsidR="00E33308">
        <w:rPr>
          <w:rFonts w:ascii="Times New Roman" w:hAnsi="Times New Roman" w:cs="Times New Roman"/>
        </w:rPr>
        <w:t xml:space="preserve">g the use of posttaking sales. </w:t>
      </w:r>
      <w:r w:rsidRPr="00534155">
        <w:rPr>
          <w:rFonts w:ascii="Times New Roman" w:hAnsi="Times New Roman" w:cs="Times New Roman"/>
        </w:rPr>
        <w:t>Such, however, is not the case at hand.”</w:t>
      </w:r>
      <w:r w:rsidRPr="00534155">
        <w:rPr>
          <w:rStyle w:val="FootnoteReference"/>
          <w:rFonts w:ascii="Times New Roman" w:hAnsi="Times New Roman" w:cs="Times New Roman"/>
          <w:vertAlign w:val="superscript"/>
        </w:rPr>
        <w:footnoteReference w:id="92"/>
      </w:r>
      <w:r w:rsidR="00E33308">
        <w:rPr>
          <w:rFonts w:ascii="Times New Roman" w:hAnsi="Times New Roman" w:cs="Times New Roman"/>
        </w:rPr>
        <w:t xml:space="preserve"> </w:t>
      </w:r>
      <w:r w:rsidRPr="00534155">
        <w:rPr>
          <w:rFonts w:ascii="Times New Roman" w:hAnsi="Times New Roman" w:cs="Times New Roman"/>
        </w:rPr>
        <w:t>Thus, although the Louisiana courts seem to have decided not to admit post-taking sales as comparable sales for the purposes of valuation, they still appear to be applying a variation of the case-by-case analysis approach to such evidence.</w:t>
      </w:r>
    </w:p>
    <w:p w:rsidR="001C6202" w:rsidRPr="00534155" w:rsidRDefault="001C6202" w:rsidP="00E33308">
      <w:pPr>
        <w:widowControl/>
        <w:autoSpaceDE/>
        <w:autoSpaceDN/>
        <w:adjustRightInd/>
        <w:spacing w:after="200" w:line="276" w:lineRule="auto"/>
        <w:rPr>
          <w:rFonts w:ascii="Times New Roman" w:hAnsi="Times New Roman" w:cs="Times New Roman"/>
        </w:rPr>
      </w:pPr>
      <w:r w:rsidRPr="00534155">
        <w:rPr>
          <w:rFonts w:ascii="Times New Roman" w:hAnsi="Times New Roman" w:cs="Times New Roman"/>
          <w:b/>
          <w:bCs/>
        </w:rPr>
        <w:t>III.</w:t>
      </w:r>
      <w:r w:rsidRPr="00534155">
        <w:rPr>
          <w:rFonts w:ascii="Times New Roman" w:hAnsi="Times New Roman" w:cs="Times New Roman"/>
          <w:b/>
          <w:bCs/>
        </w:rPr>
        <w:tab/>
        <w:t>Evidence of Rezoning After the Date of Taking</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The severity and the complexity of the zoning restrictions that are imposed upon a property can dramatically affect the value of t</w:t>
      </w:r>
      <w:r w:rsidR="00232A10">
        <w:rPr>
          <w:rFonts w:ascii="Times New Roman" w:hAnsi="Times New Roman" w:cs="Times New Roman"/>
        </w:rPr>
        <w:t>he property on the open market.</w:t>
      </w:r>
      <w:r w:rsidRPr="00534155">
        <w:rPr>
          <w:rFonts w:ascii="Times New Roman" w:hAnsi="Times New Roman" w:cs="Times New Roman"/>
        </w:rPr>
        <w:t xml:space="preserve"> Because one of the primary purposes of condemnation proceedings is to determine the “just compensation” due to the property owner, zoning issues can have a dramatic impact on the value that will b</w:t>
      </w:r>
      <w:r w:rsidR="009619E2">
        <w:rPr>
          <w:rFonts w:ascii="Times New Roman" w:hAnsi="Times New Roman" w:cs="Times New Roman"/>
        </w:rPr>
        <w:t xml:space="preserve">e placed on the land at trial. </w:t>
      </w:r>
      <w:r w:rsidRPr="00534155">
        <w:rPr>
          <w:rFonts w:ascii="Times New Roman" w:hAnsi="Times New Roman" w:cs="Times New Roman"/>
        </w:rPr>
        <w:t>When the zoning of the property remains unchanged between the time of the taking and the trial, the only issue to be determined is the effect of the current zoning and whether or not there is a reas</w:t>
      </w:r>
      <w:r w:rsidR="009619E2">
        <w:rPr>
          <w:rFonts w:ascii="Times New Roman" w:hAnsi="Times New Roman" w:cs="Times New Roman"/>
        </w:rPr>
        <w:t>onable possibility of rezoning.</w:t>
      </w:r>
      <w:r w:rsidRPr="00534155">
        <w:rPr>
          <w:rFonts w:ascii="Times New Roman" w:hAnsi="Times New Roman" w:cs="Times New Roman"/>
        </w:rPr>
        <w:t xml:space="preserve"> If, however, the property is rezoned after the date of the taking and before the date of the trial, the trial court must wrestle with the additional decision as to whether or not such information is admissible at trial.</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Unlike post-taking comparable sales, which courts have generally permitted subject to the general rules of evidence, courts have issued widely varying opinions regarding the admissibility of post-taking zoning changes</w:t>
      </w:r>
      <w:r w:rsidR="009619E2">
        <w:rPr>
          <w:rFonts w:ascii="Times New Roman" w:hAnsi="Times New Roman" w:cs="Times New Roman"/>
        </w:rPr>
        <w:t>.</w:t>
      </w:r>
      <w:r w:rsidRPr="00534155">
        <w:rPr>
          <w:rFonts w:ascii="Times New Roman" w:hAnsi="Times New Roman" w:cs="Times New Roman"/>
        </w:rPr>
        <w:t xml:space="preserve"> Because a zoning change is a discrete event with a precise date of approval, the disparity between pre-rezoning and post-rezoning is often more dramatic than with sales of property be</w:t>
      </w:r>
      <w:r w:rsidR="009619E2">
        <w:rPr>
          <w:rFonts w:ascii="Times New Roman" w:hAnsi="Times New Roman" w:cs="Times New Roman"/>
        </w:rPr>
        <w:t xml:space="preserve">fore or after a specific date. </w:t>
      </w:r>
      <w:r w:rsidRPr="00534155">
        <w:rPr>
          <w:rFonts w:ascii="Times New Roman" w:hAnsi="Times New Roman" w:cs="Times New Roman"/>
        </w:rPr>
        <w:t xml:space="preserve">Because of this fact, courts have generally </w:t>
      </w:r>
      <w:r w:rsidRPr="00534155">
        <w:rPr>
          <w:rFonts w:ascii="Times New Roman" w:hAnsi="Times New Roman" w:cs="Times New Roman"/>
        </w:rPr>
        <w:lastRenderedPageBreak/>
        <w:t xml:space="preserve">subscribed to one of three different perspectives on the admissibility of </w:t>
      </w:r>
      <w:r w:rsidR="009619E2">
        <w:rPr>
          <w:rFonts w:ascii="Times New Roman" w:hAnsi="Times New Roman" w:cs="Times New Roman"/>
        </w:rPr>
        <w:t>post-taking rezoning at trial. Some</w:t>
      </w:r>
      <w:r w:rsidRPr="00534155">
        <w:rPr>
          <w:rFonts w:ascii="Times New Roman" w:hAnsi="Times New Roman" w:cs="Times New Roman"/>
        </w:rPr>
        <w:t xml:space="preserve"> courts have been highly restrictive of such evidence, holding it to be something that would not be known to a market participant at the time, thus making it irrelevant to a determination of market value </w:t>
      </w:r>
      <w:r w:rsidRPr="00534155">
        <w:rPr>
          <w:rFonts w:ascii="Times New Roman" w:hAnsi="Times New Roman" w:cs="Times New Roman"/>
          <w:i/>
          <w:iCs/>
        </w:rPr>
        <w:t>at the time of the taking</w:t>
      </w:r>
      <w:r w:rsidR="009619E2">
        <w:rPr>
          <w:rFonts w:ascii="Times New Roman" w:hAnsi="Times New Roman" w:cs="Times New Roman"/>
        </w:rPr>
        <w:t>.</w:t>
      </w:r>
      <w:r w:rsidRPr="00534155">
        <w:rPr>
          <w:rFonts w:ascii="Times New Roman" w:hAnsi="Times New Roman" w:cs="Times New Roman"/>
        </w:rPr>
        <w:t xml:space="preserve"> Other courts have found such evidence to be relevant as to whether or not a market participant would have taken the possibility of such an event into account when appraising the property, but would still find such evidence inadmissible due to the fact that it would likely prove to be substantially m</w:t>
      </w:r>
      <w:r w:rsidR="009619E2">
        <w:rPr>
          <w:rFonts w:ascii="Times New Roman" w:hAnsi="Times New Roman" w:cs="Times New Roman"/>
        </w:rPr>
        <w:t>ore prejudicial than probative.</w:t>
      </w:r>
      <w:r w:rsidRPr="00534155">
        <w:rPr>
          <w:rFonts w:ascii="Times New Roman" w:hAnsi="Times New Roman" w:cs="Times New Roman"/>
        </w:rPr>
        <w:t xml:space="preserve"> Finally, some courts have found that such information is highly relevant, and ought to be admitted into evidence, but with explicit jury instructions that it is only to be used to determine whether such a rezoning was a reasonable possibility at the time of the taking, and thus would be account</w:t>
      </w:r>
      <w:r w:rsidR="009619E2">
        <w:rPr>
          <w:rFonts w:ascii="Times New Roman" w:hAnsi="Times New Roman" w:cs="Times New Roman"/>
        </w:rPr>
        <w:t>ed for by a market participant.</w:t>
      </w:r>
      <w:r w:rsidRPr="00534155">
        <w:rPr>
          <w:rFonts w:ascii="Times New Roman" w:hAnsi="Times New Roman" w:cs="Times New Roman"/>
        </w:rPr>
        <w:t xml:space="preserve"> Which approach is adopted often varies from court to court, and even among the different members of a given court, as will be seen below.</w:t>
      </w:r>
    </w:p>
    <w:p w:rsidR="001C6202" w:rsidRPr="005361AD" w:rsidRDefault="005361AD" w:rsidP="005361AD">
      <w:pPr>
        <w:widowControl/>
        <w:autoSpaceDE/>
        <w:autoSpaceDN/>
        <w:adjustRightInd/>
        <w:spacing w:after="200" w:line="276" w:lineRule="auto"/>
        <w:ind w:firstLine="720"/>
        <w:rPr>
          <w:rFonts w:ascii="Times New Roman" w:hAnsi="Times New Roman" w:cs="Times New Roman"/>
          <w:b/>
          <w:bCs/>
        </w:rPr>
      </w:pPr>
      <w:r>
        <w:rPr>
          <w:rFonts w:ascii="Times New Roman" w:hAnsi="Times New Roman" w:cs="Times New Roman"/>
          <w:b/>
          <w:bCs/>
        </w:rPr>
        <w:t>A.</w:t>
      </w:r>
      <w:r>
        <w:rPr>
          <w:rFonts w:ascii="Times New Roman" w:hAnsi="Times New Roman" w:cs="Times New Roman"/>
          <w:b/>
          <w:bCs/>
        </w:rPr>
        <w:tab/>
      </w:r>
      <w:r w:rsidR="001C6202" w:rsidRPr="005361AD">
        <w:rPr>
          <w:rFonts w:ascii="Times New Roman" w:hAnsi="Times New Roman" w:cs="Times New Roman"/>
          <w:b/>
          <w:bCs/>
        </w:rPr>
        <w:t>Jurisdictions Permitting Evidence of Post-Taking Rezoning</w:t>
      </w:r>
    </w:p>
    <w:p w:rsidR="001C6202" w:rsidRPr="005361AD" w:rsidRDefault="005361AD" w:rsidP="00536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1.</w:t>
      </w:r>
      <w:r>
        <w:rPr>
          <w:rFonts w:ascii="Times New Roman" w:hAnsi="Times New Roman" w:cs="Times New Roman"/>
          <w:b/>
          <w:bCs/>
        </w:rPr>
        <w:tab/>
      </w:r>
      <w:r w:rsidR="001C6202" w:rsidRPr="005361AD">
        <w:rPr>
          <w:rFonts w:ascii="Times New Roman" w:hAnsi="Times New Roman" w:cs="Times New Roman"/>
          <w:b/>
          <w:bCs/>
        </w:rPr>
        <w:t>Federal Cases Admitting Evidence of Post-Taking Rezoning</w:t>
      </w:r>
    </w:p>
    <w:p w:rsidR="00534155" w:rsidRPr="00534155" w:rsidRDefault="00534155" w:rsidP="005341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Cs/>
        </w:rPr>
      </w:pPr>
      <w:r w:rsidRPr="00534155">
        <w:rPr>
          <w:rFonts w:ascii="Times New Roman" w:hAnsi="Times New Roman" w:cs="Times New Roman"/>
          <w:bCs/>
        </w:rPr>
        <w:tab/>
        <w:t>The prevailing st</w:t>
      </w:r>
      <w:r w:rsidR="00E51FD0">
        <w:rPr>
          <w:rFonts w:ascii="Times New Roman" w:hAnsi="Times New Roman" w:cs="Times New Roman"/>
          <w:bCs/>
        </w:rPr>
        <w:t xml:space="preserve">andard </w:t>
      </w:r>
      <w:r w:rsidRPr="00534155">
        <w:rPr>
          <w:rFonts w:ascii="Times New Roman" w:hAnsi="Times New Roman" w:cs="Times New Roman"/>
          <w:bCs/>
        </w:rPr>
        <w:t xml:space="preserve">in federal courts is that parties to a condemnation suit may submit evidence of a “reasonable </w:t>
      </w:r>
      <w:r w:rsidR="00E51FD0">
        <w:rPr>
          <w:rFonts w:ascii="Times New Roman" w:hAnsi="Times New Roman" w:cs="Times New Roman"/>
          <w:bCs/>
        </w:rPr>
        <w:t>possibility” that rezoning will occu</w:t>
      </w:r>
      <w:r w:rsidRPr="00534155">
        <w:rPr>
          <w:rFonts w:ascii="Times New Roman" w:hAnsi="Times New Roman" w:cs="Times New Roman"/>
          <w:bCs/>
        </w:rPr>
        <w:t>r</w:t>
      </w:r>
      <w:r w:rsidR="00E51FD0">
        <w:rPr>
          <w:rFonts w:ascii="Times New Roman" w:hAnsi="Times New Roman" w:cs="Times New Roman"/>
          <w:bCs/>
        </w:rPr>
        <w:t xml:space="preserve"> or</w:t>
      </w:r>
      <w:r w:rsidRPr="00534155">
        <w:rPr>
          <w:rFonts w:ascii="Times New Roman" w:hAnsi="Times New Roman" w:cs="Times New Roman"/>
          <w:bCs/>
        </w:rPr>
        <w:t xml:space="preserve"> a permit will be issued, increasing or decreasing the value of property. The Fifth Circuit summarized the reasoning behind this rule, relating the issue back to the “reasonable purchaser” standard discussed above.</w:t>
      </w:r>
    </w:p>
    <w:p w:rsidR="00534155" w:rsidRPr="00534155" w:rsidRDefault="00534155" w:rsidP="00534155">
      <w:pPr>
        <w:widowControl/>
        <w:ind w:left="720" w:right="720"/>
        <w:jc w:val="both"/>
        <w:rPr>
          <w:rFonts w:ascii="Times New Roman" w:hAnsi="Times New Roman" w:cs="Times New Roman"/>
        </w:rPr>
      </w:pPr>
      <w:r w:rsidRPr="00534155">
        <w:rPr>
          <w:rFonts w:ascii="Times New Roman" w:hAnsi="Times New Roman" w:cs="Times New Roman"/>
        </w:rPr>
        <w:t xml:space="preserve">However, it is not at all uncommon within regulatory systems for permits or variances to be granted, or for the regulations themselves (especially zoning regulations) to be changed. And since the prospect of obtaining a permit or a change of zoning classification is a factor that might well be considered by a prospective purchaser, and thus a factor affecting the price a willing buyer would pay for the property, it will often represent an element of fair market value. Accordingly, it is well settled law that if the landowner can demonstrate a "reasonable possibility" that a permit would be issued or that rezoning will occur, thereby freeing the property for a use which otherwise would be precluded by regulatory restrictions, the owner is entitled to have that "reasonable possibility" </w:t>
      </w:r>
      <w:r w:rsidRPr="00534155">
        <w:rPr>
          <w:rFonts w:ascii="Times New Roman" w:hAnsi="Times New Roman" w:cs="Times New Roman"/>
        </w:rPr>
        <w:lastRenderedPageBreak/>
        <w:t>considered by the jury, provided of course that the use is otherwise a practicable and reasonably probable one.</w:t>
      </w:r>
      <w:r w:rsidRPr="00534155">
        <w:rPr>
          <w:rStyle w:val="FootnoteReference"/>
          <w:rFonts w:ascii="Times New Roman" w:hAnsi="Times New Roman" w:cs="Times New Roman"/>
          <w:vertAlign w:val="superscript"/>
        </w:rPr>
        <w:footnoteReference w:id="93"/>
      </w:r>
    </w:p>
    <w:p w:rsidR="00534155" w:rsidRPr="00534155" w:rsidRDefault="00534155" w:rsidP="00534155">
      <w:pPr>
        <w:widowControl/>
        <w:rPr>
          <w:rFonts w:ascii="Times New Roman" w:hAnsi="Times New Roman" w:cs="Times New Roman"/>
        </w:rPr>
      </w:pPr>
    </w:p>
    <w:p w:rsidR="00534155" w:rsidRPr="00534155" w:rsidRDefault="001C048F" w:rsidP="00E51FD0">
      <w:pPr>
        <w:widowControl/>
        <w:spacing w:line="480" w:lineRule="auto"/>
        <w:jc w:val="both"/>
        <w:rPr>
          <w:rFonts w:ascii="Times New Roman" w:hAnsi="Times New Roman" w:cs="Times New Roman"/>
        </w:rPr>
      </w:pPr>
      <w:r>
        <w:rPr>
          <w:rFonts w:ascii="Times New Roman" w:hAnsi="Times New Roman" w:cs="Times New Roman"/>
        </w:rPr>
        <w:t>One can imagine that a</w:t>
      </w:r>
      <w:r w:rsidR="00534155" w:rsidRPr="00534155">
        <w:rPr>
          <w:rFonts w:ascii="Times New Roman" w:hAnsi="Times New Roman" w:cs="Times New Roman"/>
        </w:rPr>
        <w:t xml:space="preserve"> zoning change that occurs after the date of taking would</w:t>
      </w:r>
      <w:r>
        <w:rPr>
          <w:rFonts w:ascii="Times New Roman" w:hAnsi="Times New Roman" w:cs="Times New Roman"/>
        </w:rPr>
        <w:t xml:space="preserve"> often</w:t>
      </w:r>
      <w:r w:rsidR="00534155" w:rsidRPr="00534155">
        <w:rPr>
          <w:rFonts w:ascii="Times New Roman" w:hAnsi="Times New Roman" w:cs="Times New Roman"/>
        </w:rPr>
        <w:t xml:space="preserve"> be evidence of a “reasonable possibility”</w:t>
      </w:r>
      <w:r>
        <w:rPr>
          <w:rFonts w:ascii="Times New Roman" w:hAnsi="Times New Roman" w:cs="Times New Roman"/>
        </w:rPr>
        <w:t xml:space="preserve"> of rezoning at the date of taking</w:t>
      </w:r>
      <w:r w:rsidR="00534155" w:rsidRPr="00534155">
        <w:rPr>
          <w:rFonts w:ascii="Times New Roman" w:hAnsi="Times New Roman" w:cs="Times New Roman"/>
        </w:rPr>
        <w:t xml:space="preserve">. This would also conform </w:t>
      </w:r>
      <w:r w:rsidR="00294955" w:rsidRPr="00534155">
        <w:rPr>
          <w:rFonts w:ascii="Times New Roman" w:hAnsi="Times New Roman" w:cs="Times New Roman"/>
        </w:rPr>
        <w:t>to</w:t>
      </w:r>
      <w:r w:rsidR="00534155" w:rsidRPr="00534155">
        <w:rPr>
          <w:rFonts w:ascii="Times New Roman" w:hAnsi="Times New Roman" w:cs="Times New Roman"/>
        </w:rPr>
        <w:t xml:space="preserve"> USPAP and Nichols, which state that subsequent evidence of comparable sales and zoning is relevant where it verifies market expectations buyers and sellers would have had at the date of taking.</w:t>
      </w:r>
      <w:r w:rsidR="00534155">
        <w:rPr>
          <w:rFonts w:ascii="Times New Roman" w:hAnsi="Times New Roman" w:cs="Times New Roman"/>
        </w:rPr>
        <w:t xml:space="preserve"> </w:t>
      </w:r>
      <w:r>
        <w:rPr>
          <w:rFonts w:ascii="Times New Roman" w:hAnsi="Times New Roman" w:cs="Times New Roman"/>
        </w:rPr>
        <w:t>Indeed,</w:t>
      </w:r>
      <w:r w:rsidR="00534155">
        <w:rPr>
          <w:rFonts w:ascii="Times New Roman" w:hAnsi="Times New Roman" w:cs="Times New Roman"/>
        </w:rPr>
        <w:t xml:space="preserve"> federal courts have admitted evidence of zoning changes subsequent to takings.</w:t>
      </w:r>
    </w:p>
    <w:p w:rsidR="00232A10" w:rsidRDefault="001C6202" w:rsidP="001C048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1958, the </w:t>
      </w:r>
      <w:r w:rsidR="001C048F">
        <w:rPr>
          <w:rFonts w:ascii="Times New Roman" w:hAnsi="Times New Roman" w:cs="Times New Roman"/>
        </w:rPr>
        <w:t xml:space="preserve">Second Circuit </w:t>
      </w:r>
      <w:r w:rsidRPr="00534155">
        <w:rPr>
          <w:rFonts w:ascii="Times New Roman" w:hAnsi="Times New Roman" w:cs="Times New Roman"/>
        </w:rPr>
        <w:t xml:space="preserve">in </w:t>
      </w:r>
      <w:r w:rsidRPr="00534155">
        <w:rPr>
          <w:rFonts w:ascii="Times New Roman" w:hAnsi="Times New Roman" w:cs="Times New Roman"/>
          <w:i/>
          <w:iCs/>
        </w:rPr>
        <w:t>United States v. Meadow Brook Club</w:t>
      </w:r>
      <w:r w:rsidRPr="00534155">
        <w:rPr>
          <w:rStyle w:val="FootnoteReference"/>
          <w:rFonts w:ascii="Times New Roman" w:hAnsi="Times New Roman" w:cs="Times New Roman"/>
          <w:vertAlign w:val="superscript"/>
        </w:rPr>
        <w:footnoteReference w:id="94"/>
      </w:r>
      <w:r w:rsidRPr="00534155">
        <w:rPr>
          <w:rFonts w:ascii="Times New Roman" w:hAnsi="Times New Roman" w:cs="Times New Roman"/>
        </w:rPr>
        <w:t xml:space="preserve"> considered </w:t>
      </w:r>
      <w:r w:rsidR="00294955">
        <w:rPr>
          <w:rFonts w:ascii="Times New Roman" w:hAnsi="Times New Roman" w:cs="Times New Roman"/>
        </w:rPr>
        <w:t>a case</w:t>
      </w:r>
      <w:r w:rsidR="001C048F">
        <w:rPr>
          <w:rFonts w:ascii="Times New Roman" w:hAnsi="Times New Roman" w:cs="Times New Roman"/>
        </w:rPr>
        <w:t xml:space="preserve"> </w:t>
      </w:r>
      <w:r w:rsidRPr="00534155">
        <w:rPr>
          <w:rFonts w:ascii="Times New Roman" w:hAnsi="Times New Roman" w:cs="Times New Roman"/>
        </w:rPr>
        <w:t>where land was zoned residential at the time of the taking, but an application for rezonin</w:t>
      </w:r>
      <w:r w:rsidR="001C048F">
        <w:rPr>
          <w:rFonts w:ascii="Times New Roman" w:hAnsi="Times New Roman" w:cs="Times New Roman"/>
        </w:rPr>
        <w:t>g was approved at a later date. The c</w:t>
      </w:r>
      <w:r w:rsidRPr="00534155">
        <w:rPr>
          <w:rFonts w:ascii="Times New Roman" w:hAnsi="Times New Roman" w:cs="Times New Roman"/>
        </w:rPr>
        <w:t>ourt stated that although property is generally valued based on the existing restrictions, “if there is a reasonable possibility that the zoning classification will be changed, this possibility should be considered in arriving at the proper value.”</w:t>
      </w:r>
      <w:r w:rsidRPr="00534155">
        <w:rPr>
          <w:rStyle w:val="FootnoteReference"/>
          <w:rFonts w:ascii="Times New Roman" w:hAnsi="Times New Roman" w:cs="Times New Roman"/>
          <w:vertAlign w:val="superscript"/>
        </w:rPr>
        <w:footnoteReference w:id="95"/>
      </w:r>
      <w:r w:rsidR="001C048F">
        <w:rPr>
          <w:rFonts w:ascii="Times New Roman" w:hAnsi="Times New Roman" w:cs="Times New Roman"/>
        </w:rPr>
        <w:t xml:space="preserve"> </w:t>
      </w:r>
      <w:r w:rsidRPr="00534155">
        <w:rPr>
          <w:rFonts w:ascii="Times New Roman" w:hAnsi="Times New Roman" w:cs="Times New Roman"/>
        </w:rPr>
        <w:t xml:space="preserve">Indeed, because the lower court had considered the current as well as potential uses, the award </w:t>
      </w:r>
      <w:r w:rsidR="001C048F">
        <w:rPr>
          <w:rFonts w:ascii="Times New Roman" w:hAnsi="Times New Roman" w:cs="Times New Roman"/>
        </w:rPr>
        <w:t xml:space="preserve">of the trial court was upheld. </w:t>
      </w:r>
      <w:r w:rsidRPr="00534155">
        <w:rPr>
          <w:rFonts w:ascii="Times New Roman" w:hAnsi="Times New Roman" w:cs="Times New Roman"/>
          <w:i/>
          <w:iCs/>
        </w:rPr>
        <w:t>Meadow Brook</w:t>
      </w:r>
      <w:r w:rsidRPr="00534155">
        <w:rPr>
          <w:rFonts w:ascii="Times New Roman" w:hAnsi="Times New Roman" w:cs="Times New Roman"/>
        </w:rPr>
        <w:t xml:space="preserve"> stated that it was proper for the trial court to consider to what extent the possibility of rezoning would affect the value of the property as of the date of the taking, and that such a determination depends on the degree of probability that the zoning would occur, the imminence of the change, the effectiveness of the opposition to the change, and other conjectural factors.</w:t>
      </w:r>
      <w:r w:rsidRPr="00534155">
        <w:rPr>
          <w:rStyle w:val="FootnoteReference"/>
          <w:rFonts w:ascii="Times New Roman" w:hAnsi="Times New Roman" w:cs="Times New Roman"/>
          <w:vertAlign w:val="superscript"/>
        </w:rPr>
        <w:footnoteReference w:id="96"/>
      </w:r>
      <w:r w:rsidR="001C048F">
        <w:rPr>
          <w:rFonts w:ascii="Times New Roman" w:hAnsi="Times New Roman" w:cs="Times New Roman"/>
        </w:rPr>
        <w:t xml:space="preserve"> However, “</w:t>
      </w:r>
      <w:r w:rsidR="00232A10" w:rsidRPr="005E0F47">
        <w:rPr>
          <w:rStyle w:val="apple-style-span"/>
          <w:rFonts w:ascii="Times New Roman" w:hAnsi="Times New Roman" w:cs="Times New Roman"/>
          <w:color w:val="333333"/>
          <w:shd w:val="clear" w:color="auto" w:fill="FFFFFF"/>
        </w:rPr>
        <w:t xml:space="preserve">It would be improper to value the property as if it were actually being used for the </w:t>
      </w:r>
      <w:r w:rsidR="001C048F">
        <w:rPr>
          <w:rStyle w:val="apple-style-span"/>
          <w:rFonts w:ascii="Times New Roman" w:hAnsi="Times New Roman" w:cs="Times New Roman"/>
          <w:color w:val="333333"/>
          <w:shd w:val="clear" w:color="auto" w:fill="FFFFFF"/>
        </w:rPr>
        <w:t xml:space="preserve">more valuable purpose. </w:t>
      </w:r>
      <w:r w:rsidR="00294955">
        <w:rPr>
          <w:rStyle w:val="apple-style-span"/>
          <w:rFonts w:ascii="Times New Roman" w:hAnsi="Times New Roman" w:cs="Times New Roman"/>
          <w:color w:val="333333"/>
          <w:shd w:val="clear" w:color="auto" w:fill="FFFFFF"/>
        </w:rPr>
        <w:t>But the ‘</w:t>
      </w:r>
      <w:r w:rsidR="00294955" w:rsidRPr="005E0F47">
        <w:rPr>
          <w:rStyle w:val="apple-style-span"/>
          <w:rFonts w:ascii="Times New Roman" w:hAnsi="Times New Roman" w:cs="Times New Roman"/>
          <w:color w:val="333333"/>
          <w:shd w:val="clear" w:color="auto" w:fill="FFFFFF"/>
        </w:rPr>
        <w:t>extent that the prospect of demand for such use affects the market value while the property is privately held' shou</w:t>
      </w:r>
      <w:r w:rsidR="00294955">
        <w:rPr>
          <w:rStyle w:val="apple-style-span"/>
          <w:rFonts w:ascii="Times New Roman" w:hAnsi="Times New Roman" w:cs="Times New Roman"/>
          <w:color w:val="333333"/>
          <w:shd w:val="clear" w:color="auto" w:fill="FFFFFF"/>
        </w:rPr>
        <w:t>ld enter into the calculation.'”</w:t>
      </w:r>
      <w:r w:rsidR="00294955" w:rsidRPr="001C048F">
        <w:rPr>
          <w:rStyle w:val="FootnoteReference"/>
          <w:rFonts w:ascii="Times New Roman" w:hAnsi="Times New Roman" w:cs="Times New Roman"/>
          <w:color w:val="333333"/>
          <w:shd w:val="clear" w:color="auto" w:fill="FFFFFF"/>
          <w:vertAlign w:val="superscript"/>
        </w:rPr>
        <w:footnoteReference w:id="97"/>
      </w:r>
      <w:r w:rsidR="00294955" w:rsidRPr="001C048F">
        <w:rPr>
          <w:rStyle w:val="apple-style-span"/>
          <w:rFonts w:ascii="Times New Roman" w:hAnsi="Times New Roman" w:cs="Times New Roman"/>
          <w:color w:val="333333"/>
          <w:shd w:val="clear" w:color="auto" w:fill="FFFFFF"/>
          <w:vertAlign w:val="superscript"/>
        </w:rPr>
        <w:t xml:space="preserve"> </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lastRenderedPageBreak/>
        <w:t>Also in 1958, the</w:t>
      </w:r>
      <w:r w:rsidR="00470275">
        <w:rPr>
          <w:rFonts w:ascii="Times New Roman" w:hAnsi="Times New Roman" w:cs="Times New Roman"/>
        </w:rPr>
        <w:t xml:space="preserve"> Eastern District of New York in </w:t>
      </w:r>
      <w:r w:rsidRPr="00534155">
        <w:rPr>
          <w:rFonts w:ascii="Times New Roman" w:hAnsi="Times New Roman" w:cs="Times New Roman"/>
          <w:i/>
          <w:iCs/>
        </w:rPr>
        <w:t>United</w:t>
      </w:r>
      <w:r w:rsidR="00534155">
        <w:rPr>
          <w:rFonts w:ascii="Times New Roman" w:hAnsi="Times New Roman" w:cs="Times New Roman"/>
          <w:i/>
          <w:iCs/>
        </w:rPr>
        <w:t xml:space="preserve"> States v. 765.56 Acres of Land</w:t>
      </w:r>
      <w:r w:rsidRPr="00534155">
        <w:rPr>
          <w:rStyle w:val="FootnoteReference"/>
          <w:rFonts w:ascii="Times New Roman" w:hAnsi="Times New Roman" w:cs="Times New Roman"/>
          <w:vertAlign w:val="superscript"/>
        </w:rPr>
        <w:footnoteReference w:id="98"/>
      </w:r>
      <w:r w:rsidRPr="00534155">
        <w:rPr>
          <w:rFonts w:ascii="Times New Roman" w:hAnsi="Times New Roman" w:cs="Times New Roman"/>
        </w:rPr>
        <w:t xml:space="preserve"> considered the damage inflicted when a condemnor sought aviation easements limiting building heights f</w:t>
      </w:r>
      <w:r w:rsidR="001C048F">
        <w:rPr>
          <w:rFonts w:ascii="Times New Roman" w:hAnsi="Times New Roman" w:cs="Times New Roman"/>
        </w:rPr>
        <w:t xml:space="preserve">or the properties in question. </w:t>
      </w:r>
      <w:r w:rsidRPr="00534155">
        <w:rPr>
          <w:rFonts w:ascii="Times New Roman" w:hAnsi="Times New Roman" w:cs="Times New Roman"/>
        </w:rPr>
        <w:t>In considering the question, the Court considered the impact of zoning restrictions that were not in place at the time of condemnation, but which had been imp</w:t>
      </w:r>
      <w:r w:rsidR="00534155">
        <w:rPr>
          <w:rFonts w:ascii="Times New Roman" w:hAnsi="Times New Roman" w:cs="Times New Roman"/>
        </w:rPr>
        <w:t xml:space="preserve">osed by the time of the trial. </w:t>
      </w:r>
      <w:r w:rsidRPr="00534155">
        <w:rPr>
          <w:rFonts w:ascii="Times New Roman" w:hAnsi="Times New Roman" w:cs="Times New Roman"/>
        </w:rPr>
        <w:t>The Court noted that:</w:t>
      </w:r>
    </w:p>
    <w:p w:rsidR="001C6202" w:rsidRPr="00534155" w:rsidRDefault="001C6202" w:rsidP="0053415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At the time of the institution of this condemnation action, the lands here involved were entirely without zoning. Zoning regulations had been under consideration, however, for some time, and of course it is necessary, in appraising rights of this character and lands of this nature, to consider the possibility and probability of the future use of this land for housing and residential purposes and the appropriate zoning for such use. </w:t>
      </w:r>
      <w:r w:rsidR="00534155">
        <w:rPr>
          <w:rFonts w:ascii="Times New Roman" w:hAnsi="Times New Roman" w:cs="Times New Roman"/>
        </w:rPr>
        <w:t xml:space="preserve">. . </w:t>
      </w:r>
      <w:r w:rsidRPr="00534155">
        <w:rPr>
          <w:rFonts w:ascii="Times New Roman" w:hAnsi="Times New Roman" w:cs="Times New Roman"/>
          <w:iCs/>
        </w:rPr>
        <w:t>The testimony shows that at the time of trial such zoning had become a fact and that the lands are now zoned for residential and agricultural purposes, with a height limitation of 35 feet for any buildings or structures</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99"/>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534155" w:rsidRPr="00534155" w:rsidRDefault="001C6202" w:rsidP="0053415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The Court also stated that any damage resulting from the easements sought must be considered in light of the zoning restrictions – either present </w:t>
      </w:r>
      <w:r w:rsidR="00397CDC">
        <w:rPr>
          <w:rFonts w:ascii="Times New Roman" w:hAnsi="Times New Roman" w:cs="Times New Roman"/>
        </w:rPr>
        <w:t xml:space="preserve">or prospective – for the area. </w:t>
      </w:r>
      <w:r w:rsidRPr="00534155">
        <w:rPr>
          <w:rFonts w:ascii="Times New Roman" w:hAnsi="Times New Roman" w:cs="Times New Roman"/>
        </w:rPr>
        <w:t>Because the zoning in question would have limited development in the area in a similar fashion to the easements, the Court found no damage or diminution in value of the landowners’ property.</w:t>
      </w:r>
    </w:p>
    <w:p w:rsidR="00C5218E" w:rsidRPr="00C5218E" w:rsidRDefault="00397CDC"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C5218E">
        <w:rPr>
          <w:rFonts w:ascii="Times New Roman" w:hAnsi="Times New Roman" w:cs="Times New Roman"/>
        </w:rPr>
        <w:tab/>
        <w:t xml:space="preserve">The issue of rezoning subsequent to the date of taking appears much less frequently in federal courts than the issue of subsequent comparable sales. Nonetheless, one recent case indicates </w:t>
      </w:r>
      <w:r w:rsidRPr="00C5218E">
        <w:rPr>
          <w:rFonts w:ascii="Times New Roman" w:hAnsi="Times New Roman" w:cs="Times New Roman"/>
          <w:i/>
        </w:rPr>
        <w:t xml:space="preserve">Meadowbrook </w:t>
      </w:r>
      <w:r w:rsidRPr="00C5218E">
        <w:rPr>
          <w:rFonts w:ascii="Times New Roman" w:hAnsi="Times New Roman" w:cs="Times New Roman"/>
        </w:rPr>
        <w:t xml:space="preserve">is still good law. </w:t>
      </w:r>
      <w:r w:rsidR="00534155" w:rsidRPr="00C5218E">
        <w:rPr>
          <w:rFonts w:ascii="Times New Roman" w:hAnsi="Times New Roman" w:cs="Times New Roman"/>
        </w:rPr>
        <w:t xml:space="preserve">In </w:t>
      </w:r>
      <w:r w:rsidR="00534155" w:rsidRPr="00C5218E">
        <w:rPr>
          <w:rFonts w:ascii="Times New Roman" w:hAnsi="Times New Roman" w:cs="Times New Roman"/>
          <w:i/>
        </w:rPr>
        <w:t xml:space="preserve">Desert Citizens Against Pollution v Bisson, </w:t>
      </w:r>
      <w:r w:rsidR="00534155" w:rsidRPr="00C5218E">
        <w:rPr>
          <w:rFonts w:ascii="Times New Roman" w:hAnsi="Times New Roman" w:cs="Times New Roman"/>
        </w:rPr>
        <w:t xml:space="preserve">231 F.3d 1172 (9th Cir. 2000), a coalition of environmental groups sued the Bureau of Land Management over a deal it made to purchase property. The Court agreed with the coalition that the bureau used an outdated appraisal that failed to take account a subsequent rezoning of the property for landfill use. Though not strictly a condemnation case, it still demonstrates that subsequent rezoning is a </w:t>
      </w:r>
      <w:r w:rsidR="00534155" w:rsidRPr="00C5218E">
        <w:rPr>
          <w:rFonts w:ascii="Times New Roman" w:hAnsi="Times New Roman" w:cs="Times New Roman"/>
        </w:rPr>
        <w:lastRenderedPageBreak/>
        <w:t xml:space="preserve">relevant factor in property valuation. </w:t>
      </w:r>
      <w:r w:rsidR="00C5218E" w:rsidRPr="00C5218E">
        <w:rPr>
          <w:rFonts w:ascii="Times New Roman" w:hAnsi="Times New Roman" w:cs="Times New Roman"/>
        </w:rPr>
        <w:t xml:space="preserve">Additionally, the second circuit reaffirmed </w:t>
      </w:r>
      <w:r w:rsidR="00C5218E" w:rsidRPr="00C5218E">
        <w:rPr>
          <w:rFonts w:ascii="Times New Roman" w:hAnsi="Times New Roman" w:cs="Times New Roman"/>
          <w:i/>
        </w:rPr>
        <w:t xml:space="preserve">Meadowbrook </w:t>
      </w:r>
      <w:r w:rsidR="00C5218E" w:rsidRPr="00C5218E">
        <w:rPr>
          <w:rFonts w:ascii="Times New Roman" w:hAnsi="Times New Roman" w:cs="Times New Roman"/>
        </w:rPr>
        <w:t xml:space="preserve">in </w:t>
      </w:r>
      <w:r w:rsidR="00C5218E" w:rsidRPr="00C5218E">
        <w:rPr>
          <w:rStyle w:val="apple-style-span"/>
          <w:rFonts w:ascii="Times New Roman" w:hAnsi="Times New Roman" w:cs="Times New Roman"/>
          <w:i/>
          <w:color w:val="333333"/>
          <w:shd w:val="clear" w:color="auto" w:fill="FFFFFF"/>
        </w:rPr>
        <w:t>In re Investors Funding Corp. of New York</w:t>
      </w:r>
      <w:r w:rsidR="00C5218E" w:rsidRPr="00C5218E">
        <w:rPr>
          <w:rStyle w:val="FootnoteReference"/>
          <w:rFonts w:ascii="Times New Roman" w:hAnsi="Times New Roman" w:cs="Times New Roman"/>
          <w:i/>
          <w:color w:val="333333"/>
          <w:shd w:val="clear" w:color="auto" w:fill="FFFFFF"/>
          <w:vertAlign w:val="superscript"/>
        </w:rPr>
        <w:footnoteReference w:id="100"/>
      </w:r>
      <w:r w:rsidR="00C5218E" w:rsidRPr="00C5218E">
        <w:rPr>
          <w:rStyle w:val="apple-style-span"/>
          <w:rFonts w:ascii="Times New Roman" w:hAnsi="Times New Roman" w:cs="Times New Roman"/>
          <w:i/>
          <w:color w:val="333333"/>
          <w:shd w:val="clear" w:color="auto" w:fill="FFFFFF"/>
        </w:rPr>
        <w:t xml:space="preserve">, </w:t>
      </w:r>
      <w:r w:rsidR="00C5218E" w:rsidRPr="00C5218E">
        <w:rPr>
          <w:rStyle w:val="apple-style-span"/>
          <w:rFonts w:ascii="Times New Roman" w:hAnsi="Times New Roman" w:cs="Times New Roman"/>
          <w:color w:val="333333"/>
          <w:shd w:val="clear" w:color="auto" w:fill="FFFFFF"/>
        </w:rPr>
        <w:t>where it held</w:t>
      </w:r>
    </w:p>
    <w:p w:rsidR="00C852DB" w:rsidRDefault="00232A10" w:rsidP="00C852DB">
      <w:pPr>
        <w:shd w:val="clear" w:color="auto" w:fill="FFFFFF"/>
        <w:ind w:left="720" w:right="720"/>
        <w:jc w:val="both"/>
        <w:rPr>
          <w:rStyle w:val="apple-style-span"/>
          <w:rFonts w:ascii="Times New Roman" w:hAnsi="Times New Roman" w:cs="Times New Roman"/>
          <w:color w:val="333333"/>
          <w:shd w:val="clear" w:color="auto" w:fill="FFFFFF"/>
        </w:rPr>
      </w:pPr>
      <w:bookmarkStart w:id="1" w:name="clsccl2"/>
      <w:bookmarkEnd w:id="1"/>
      <w:r w:rsidRPr="00397CDC">
        <w:rPr>
          <w:rStyle w:val="apple-style-span"/>
          <w:rFonts w:ascii="Times New Roman" w:hAnsi="Times New Roman" w:cs="Times New Roman"/>
          <w:color w:val="333333"/>
          <w:shd w:val="clear" w:color="auto" w:fill="FFFFFF"/>
        </w:rPr>
        <w:t>the possibility of a zoning change and the probable value of property after the zoning change must be “considered” when appraising the value of the property prior to the change. Critically, however, “the property must not be evaluated as though the rezoning were already an accomplished fact. It must be evaluated under the restrictions of the existing zoning (with) consideration given to the impact upon market value of the likelihood of a change in zoning.”</w:t>
      </w:r>
      <w:r w:rsidRPr="00397CDC">
        <w:rPr>
          <w:rStyle w:val="FootnoteReference"/>
          <w:rFonts w:ascii="Times New Roman" w:hAnsi="Times New Roman" w:cs="Times New Roman"/>
          <w:color w:val="333333"/>
          <w:shd w:val="clear" w:color="auto" w:fill="FFFFFF"/>
          <w:vertAlign w:val="superscript"/>
        </w:rPr>
        <w:footnoteReference w:id="101"/>
      </w:r>
    </w:p>
    <w:p w:rsidR="00C852DB" w:rsidRPr="00C852DB" w:rsidRDefault="00C852DB" w:rsidP="00C852DB">
      <w:pPr>
        <w:shd w:val="clear" w:color="auto" w:fill="FFFFFF"/>
        <w:ind w:left="720" w:right="720"/>
        <w:jc w:val="both"/>
        <w:rPr>
          <w:rFonts w:ascii="Times New Roman" w:hAnsi="Times New Roman" w:cs="Times New Roman"/>
          <w:color w:val="333333"/>
          <w:shd w:val="clear" w:color="auto" w:fill="FFFFFF"/>
        </w:rPr>
      </w:pPr>
    </w:p>
    <w:p w:rsidR="001C6202" w:rsidRPr="00534155" w:rsidRDefault="005361AD" w:rsidP="005361AD">
      <w:pPr>
        <w:widowControl/>
        <w:tabs>
          <w:tab w:val="left" w:pos="720"/>
          <w:tab w:val="left" w:pos="1440"/>
          <w:tab w:val="left" w:pos="216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t>2.</w:t>
      </w:r>
      <w:r>
        <w:rPr>
          <w:rFonts w:ascii="Times New Roman" w:hAnsi="Times New Roman" w:cs="Times New Roman"/>
          <w:b/>
          <w:bCs/>
        </w:rPr>
        <w:tab/>
      </w:r>
      <w:r w:rsidRPr="00534155">
        <w:rPr>
          <w:rFonts w:ascii="Times New Roman" w:hAnsi="Times New Roman" w:cs="Times New Roman"/>
          <w:b/>
          <w:bCs/>
        </w:rPr>
        <w:t xml:space="preserve"> </w:t>
      </w:r>
      <w:r w:rsidR="001C6202" w:rsidRPr="00534155">
        <w:rPr>
          <w:rFonts w:ascii="Times New Roman" w:hAnsi="Times New Roman" w:cs="Times New Roman"/>
          <w:b/>
          <w:bCs/>
        </w:rPr>
        <w:t>State Cases Permitting Evidence of Post-Taking Rezoning</w:t>
      </w:r>
    </w:p>
    <w:p w:rsidR="00FC122A" w:rsidRPr="00534155" w:rsidRDefault="00FC122A" w:rsidP="00FC122A">
      <w:pPr>
        <w:widowControl/>
        <w:tabs>
          <w:tab w:val="left" w:pos="3780"/>
          <w:tab w:val="left" w:pos="4320"/>
          <w:tab w:val="left" w:pos="5040"/>
          <w:tab w:val="left" w:pos="5760"/>
          <w:tab w:val="left" w:pos="6480"/>
          <w:tab w:val="left" w:pos="7200"/>
          <w:tab w:val="left" w:pos="7920"/>
          <w:tab w:val="left" w:pos="8640"/>
          <w:tab w:val="left" w:pos="9360"/>
        </w:tabs>
        <w:spacing w:line="480" w:lineRule="auto"/>
        <w:ind w:left="3067" w:hanging="907"/>
        <w:jc w:val="both"/>
        <w:rPr>
          <w:rFonts w:ascii="Times New Roman" w:hAnsi="Times New Roman" w:cs="Times New Roman"/>
          <w:b/>
          <w:bCs/>
        </w:rPr>
      </w:pPr>
      <w:r w:rsidRPr="00534155">
        <w:rPr>
          <w:rFonts w:ascii="Times New Roman" w:hAnsi="Times New Roman" w:cs="Times New Roman"/>
          <w:b/>
          <w:bCs/>
        </w:rPr>
        <w:fldChar w:fldCharType="begin"/>
      </w:r>
      <w:r w:rsidRPr="00534155">
        <w:rPr>
          <w:rFonts w:ascii="Times New Roman" w:hAnsi="Times New Roman" w:cs="Times New Roman"/>
          <w:b/>
          <w:bCs/>
        </w:rPr>
        <w:instrText>LISTNUM 3 \l 4</w:instrText>
      </w:r>
      <w:r w:rsidRPr="00534155">
        <w:rPr>
          <w:rFonts w:ascii="Times New Roman" w:hAnsi="Times New Roman" w:cs="Times New Roman"/>
          <w:b/>
          <w:bCs/>
        </w:rPr>
        <w:fldChar w:fldCharType="end"/>
      </w:r>
      <w:r w:rsidRPr="00534155">
        <w:rPr>
          <w:rFonts w:ascii="Times New Roman" w:hAnsi="Times New Roman" w:cs="Times New Roman"/>
          <w:b/>
          <w:bCs/>
        </w:rPr>
        <w:tab/>
        <w:t>New Jersey</w:t>
      </w:r>
    </w:p>
    <w:p w:rsidR="00FC122A" w:rsidRPr="00534155" w:rsidRDefault="00294955"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Pr>
          <w:rFonts w:ascii="Times New Roman" w:hAnsi="Times New Roman" w:cs="Times New Roman"/>
          <w:i/>
          <w:iCs/>
        </w:rPr>
        <w:t xml:space="preserve">Hwy </w:t>
      </w:r>
      <w:r w:rsidRPr="00534155">
        <w:rPr>
          <w:rFonts w:ascii="Times New Roman" w:hAnsi="Times New Roman" w:cs="Times New Roman"/>
          <w:i/>
          <w:iCs/>
        </w:rPr>
        <w:t>Com</w:t>
      </w:r>
      <w:r>
        <w:rPr>
          <w:rFonts w:ascii="Times New Roman" w:hAnsi="Times New Roman" w:cs="Times New Roman"/>
          <w:i/>
          <w:iCs/>
        </w:rPr>
        <w:t>m'n</w:t>
      </w:r>
      <w:r w:rsidRPr="00534155">
        <w:rPr>
          <w:rFonts w:ascii="Times New Roman" w:hAnsi="Times New Roman" w:cs="Times New Roman"/>
          <w:i/>
          <w:iCs/>
        </w:rPr>
        <w:t>r. v. Gorga</w:t>
      </w:r>
      <w:r w:rsidRPr="00534155">
        <w:rPr>
          <w:rStyle w:val="FootnoteReference"/>
          <w:rFonts w:ascii="Times New Roman" w:hAnsi="Times New Roman" w:cs="Times New Roman"/>
          <w:vertAlign w:val="superscript"/>
        </w:rPr>
        <w:footnoteReference w:id="102"/>
      </w:r>
      <w:r>
        <w:rPr>
          <w:rFonts w:ascii="Times New Roman" w:hAnsi="Times New Roman" w:cs="Times New Roman"/>
          <w:i/>
          <w:iCs/>
        </w:rPr>
        <w:t>,</w:t>
      </w:r>
      <w:r w:rsidRPr="00534155">
        <w:rPr>
          <w:rFonts w:ascii="Times New Roman" w:hAnsi="Times New Roman" w:cs="Times New Roman"/>
        </w:rPr>
        <w:t xml:space="preserve"> the Supreme Court of New Jersey explicitly affirmed that a post-taking rezoning could be admitted into evidence, if the evidence wa</w:t>
      </w:r>
      <w:r>
        <w:rPr>
          <w:rFonts w:ascii="Times New Roman" w:hAnsi="Times New Roman" w:cs="Times New Roman"/>
        </w:rPr>
        <w:t xml:space="preserve">s confined to its proper role. </w:t>
      </w:r>
      <w:r w:rsidR="00FC122A" w:rsidRPr="00534155">
        <w:rPr>
          <w:rFonts w:ascii="Times New Roman" w:hAnsi="Times New Roman" w:cs="Times New Roman"/>
        </w:rPr>
        <w:t xml:space="preserve">In </w:t>
      </w:r>
      <w:r w:rsidR="00FC122A" w:rsidRPr="00534155">
        <w:rPr>
          <w:rFonts w:ascii="Times New Roman" w:hAnsi="Times New Roman" w:cs="Times New Roman"/>
          <w:i/>
          <w:iCs/>
        </w:rPr>
        <w:t>Gorga</w:t>
      </w:r>
      <w:r w:rsidR="00FC122A" w:rsidRPr="00534155">
        <w:rPr>
          <w:rFonts w:ascii="Times New Roman" w:hAnsi="Times New Roman" w:cs="Times New Roman"/>
        </w:rPr>
        <w:t>, the trial court had refused to admit evidence at trial that the property in question had been rezoned ten months</w:t>
      </w:r>
      <w:r w:rsidR="00FC122A">
        <w:rPr>
          <w:rFonts w:ascii="Times New Roman" w:hAnsi="Times New Roman" w:cs="Times New Roman"/>
        </w:rPr>
        <w:t xml:space="preserve"> after the date of the taking. </w:t>
      </w:r>
      <w:r w:rsidR="00FC122A" w:rsidRPr="00534155">
        <w:rPr>
          <w:rFonts w:ascii="Times New Roman" w:hAnsi="Times New Roman" w:cs="Times New Roman"/>
        </w:rPr>
        <w:t>On appeal, the appellate court found that this exclusion, along with the overly restrictive jury instructions issued at trial, were a source of reversible error requiring a new trial.</w:t>
      </w:r>
      <w:r w:rsidR="00FC122A" w:rsidRPr="00534155">
        <w:rPr>
          <w:rStyle w:val="FootnoteReference"/>
          <w:rFonts w:ascii="Times New Roman" w:hAnsi="Times New Roman" w:cs="Times New Roman"/>
          <w:vertAlign w:val="superscript"/>
        </w:rPr>
        <w:footnoteReference w:id="103"/>
      </w:r>
      <w:r w:rsidR="00FC122A">
        <w:rPr>
          <w:rFonts w:ascii="Times New Roman" w:hAnsi="Times New Roman" w:cs="Times New Roman"/>
        </w:rPr>
        <w:t xml:space="preserve"> </w:t>
      </w:r>
      <w:r w:rsidR="00FC122A" w:rsidRPr="00534155">
        <w:rPr>
          <w:rFonts w:ascii="Times New Roman" w:hAnsi="Times New Roman" w:cs="Times New Roman"/>
        </w:rPr>
        <w:t xml:space="preserve">In affirming the decision of the appellate court, The </w:t>
      </w:r>
      <w:r w:rsidR="00FC122A">
        <w:rPr>
          <w:rFonts w:ascii="Times New Roman" w:hAnsi="Times New Roman" w:cs="Times New Roman"/>
        </w:rPr>
        <w:t>court</w:t>
      </w:r>
      <w:r w:rsidR="00FC122A" w:rsidRPr="00534155">
        <w:rPr>
          <w:rFonts w:ascii="Times New Roman" w:hAnsi="Times New Roman" w:cs="Times New Roman"/>
        </w:rPr>
        <w:t xml:space="preserve"> clarified </w:t>
      </w:r>
      <w:r w:rsidR="00FC122A">
        <w:rPr>
          <w:rFonts w:ascii="Times New Roman" w:hAnsi="Times New Roman" w:cs="Times New Roman"/>
        </w:rPr>
        <w:t xml:space="preserve">the ruling of the lower court, noting </w:t>
      </w:r>
      <w:r w:rsidR="00FC122A" w:rsidRPr="00534155">
        <w:rPr>
          <w:rFonts w:ascii="Times New Roman" w:hAnsi="Times New Roman" w:cs="Times New Roman"/>
        </w:rPr>
        <w:t>“[i]t is generally agreed that if as of the date of taking there is a reasonable probability of a change in the zoning ordinance in the near future, the influence of that circumstance upon the market value as of that date may be shown.”</w:t>
      </w:r>
      <w:r w:rsidR="00FC122A" w:rsidRPr="00534155">
        <w:rPr>
          <w:rStyle w:val="FootnoteReference"/>
          <w:rFonts w:ascii="Times New Roman" w:hAnsi="Times New Roman" w:cs="Times New Roman"/>
          <w:vertAlign w:val="superscript"/>
        </w:rPr>
        <w:footnoteReference w:id="104"/>
      </w:r>
      <w:r w:rsidR="00FC122A" w:rsidRPr="00534155">
        <w:rPr>
          <w:rFonts w:ascii="Times New Roman" w:hAnsi="Times New Roman" w:cs="Times New Roman"/>
        </w:rPr>
        <w:t xml:space="preserve">  Although the </w:t>
      </w:r>
      <w:r w:rsidR="00FC122A">
        <w:rPr>
          <w:rFonts w:ascii="Times New Roman" w:hAnsi="Times New Roman" w:cs="Times New Roman"/>
        </w:rPr>
        <w:t xml:space="preserve">Supreme </w:t>
      </w:r>
      <w:r w:rsidR="00FC122A" w:rsidRPr="00534155">
        <w:rPr>
          <w:rFonts w:ascii="Times New Roman" w:hAnsi="Times New Roman" w:cs="Times New Roman"/>
        </w:rPr>
        <w:t xml:space="preserve">Court agreed with the Appellate Court that evidence of rezoning is relevant and should be admissible, it also </w:t>
      </w:r>
      <w:r w:rsidR="00FC122A">
        <w:rPr>
          <w:rFonts w:ascii="Times New Roman" w:hAnsi="Times New Roman" w:cs="Times New Roman"/>
        </w:rPr>
        <w:t>stated,</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lastRenderedPageBreak/>
        <w:t>[T]he true issue is not the value of the property for the use which would be permitted if the amendment were adopted. Zoning amendments are not routinely made or granted. A purchaser in a voluntary transaction would rarely pay the price the property would be worth if the amendment were an accomplished fact. No matter how probable an amendment may seem, an element of uncertainty remains and has its impact upon the selling price. At most a buyer would pay a premium for that probability in addition to what the property is worth under the restrictions of the existing ordinance.</w:t>
      </w:r>
      <w:r w:rsidRPr="00534155">
        <w:rPr>
          <w:rStyle w:val="FootnoteReference"/>
          <w:rFonts w:ascii="Times New Roman" w:hAnsi="Times New Roman" w:cs="Times New Roman"/>
          <w:vertAlign w:val="superscript"/>
        </w:rPr>
        <w:footnoteReference w:id="105"/>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With this principle in mind, the </w:t>
      </w:r>
      <w:r>
        <w:rPr>
          <w:rFonts w:ascii="Times New Roman" w:hAnsi="Times New Roman" w:cs="Times New Roman"/>
        </w:rPr>
        <w:t>c</w:t>
      </w:r>
      <w:r w:rsidRPr="00534155">
        <w:rPr>
          <w:rFonts w:ascii="Times New Roman" w:hAnsi="Times New Roman" w:cs="Times New Roman"/>
        </w:rPr>
        <w:t>ourt noted that although the evidence of post-taking zoning was should have been admitted, it was improper for the defendant-landowners to testify only to the value of the property had it been rezoned.</w:t>
      </w:r>
      <w:r w:rsidRPr="00534155">
        <w:rPr>
          <w:rStyle w:val="FootnoteReference"/>
          <w:rFonts w:ascii="Times New Roman" w:hAnsi="Times New Roman" w:cs="Times New Roman"/>
          <w:vertAlign w:val="superscript"/>
        </w:rPr>
        <w:footnoteReference w:id="106"/>
      </w:r>
      <w:r>
        <w:rPr>
          <w:rFonts w:ascii="Times New Roman" w:hAnsi="Times New Roman" w:cs="Times New Roman"/>
        </w:rPr>
        <w:t xml:space="preserve"> </w:t>
      </w:r>
      <w:r w:rsidRPr="00534155">
        <w:rPr>
          <w:rFonts w:ascii="Times New Roman" w:hAnsi="Times New Roman" w:cs="Times New Roman"/>
        </w:rPr>
        <w:t xml:space="preserve">The </w:t>
      </w:r>
      <w:r>
        <w:rPr>
          <w:rFonts w:ascii="Times New Roman" w:hAnsi="Times New Roman" w:cs="Times New Roman"/>
        </w:rPr>
        <w:t>c</w:t>
      </w:r>
      <w:r w:rsidRPr="00534155">
        <w:rPr>
          <w:rFonts w:ascii="Times New Roman" w:hAnsi="Times New Roman" w:cs="Times New Roman"/>
        </w:rPr>
        <w:t>ourt found it troubling that no testimony was directed to what a willing buyer would be willing to pay, when taking into account the probability that the land would be rezoned in the future.</w:t>
      </w:r>
      <w:r w:rsidRPr="00534155">
        <w:rPr>
          <w:rStyle w:val="FootnoteReference"/>
          <w:rFonts w:ascii="Times New Roman" w:hAnsi="Times New Roman" w:cs="Times New Roman"/>
          <w:vertAlign w:val="superscript"/>
        </w:rPr>
        <w:footnoteReference w:id="107"/>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t xml:space="preserve">Having expressed its concerns with the evidence presented at trial, in addition to the evidence that was excluded at trial, the </w:t>
      </w:r>
      <w:r>
        <w:rPr>
          <w:rFonts w:ascii="Times New Roman" w:hAnsi="Times New Roman" w:cs="Times New Roman"/>
        </w:rPr>
        <w:t>c</w:t>
      </w:r>
      <w:r w:rsidRPr="00534155">
        <w:rPr>
          <w:rFonts w:ascii="Times New Roman" w:hAnsi="Times New Roman" w:cs="Times New Roman"/>
        </w:rPr>
        <w:t>ourt held that:</w:t>
      </w:r>
    </w:p>
    <w:p w:rsidR="00FC122A"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i/>
          <w:iCs/>
        </w:rPr>
        <w:t>We agree with the Appellate Division that an amendment of the ordinance which came into being after the date of taking should not be excluded solely because of the time sequence</w:t>
      </w:r>
      <w:r w:rsidRPr="00534155">
        <w:rPr>
          <w:rFonts w:ascii="Times New Roman" w:hAnsi="Times New Roman" w:cs="Times New Roman"/>
        </w:rPr>
        <w:t>. But such evidence should be carefully confined to its proper role. It may serve only to support the reasonableness of the factual claim that on the date of taking the parties to a voluntary sale would have recognized and been influenced by the probability of an amendment in the near future in fixing the selling price. The fact would still remain that on the date of taking the property was otherwise zoned, and the value as of that date must still be reached on the basis of facts as they then would have appeared to and been evaluated by the mythical buyer and seller.</w:t>
      </w:r>
      <w:r w:rsidRPr="00534155">
        <w:rPr>
          <w:rStyle w:val="FootnoteReference"/>
          <w:rFonts w:ascii="Times New Roman" w:hAnsi="Times New Roman" w:cs="Times New Roman"/>
          <w:vertAlign w:val="superscript"/>
        </w:rPr>
        <w:footnoteReference w:id="108"/>
      </w:r>
    </w:p>
    <w:p w:rsidR="00FC122A"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spacing w:line="480" w:lineRule="auto"/>
        <w:jc w:val="both"/>
        <w:rPr>
          <w:rFonts w:ascii="Times New Roman" w:hAnsi="Times New Roman" w:cs="Times New Roman"/>
        </w:rPr>
      </w:pPr>
      <w:r w:rsidRPr="005E0F47">
        <w:rPr>
          <w:rFonts w:ascii="Times New Roman" w:hAnsi="Times New Roman" w:cs="Times New Roman"/>
        </w:rPr>
        <w:t xml:space="preserve">Citing </w:t>
      </w:r>
      <w:r>
        <w:rPr>
          <w:rFonts w:ascii="Times New Roman" w:hAnsi="Times New Roman" w:cs="Times New Roman"/>
          <w:i/>
        </w:rPr>
        <w:t>Jones,</w:t>
      </w:r>
      <w:r w:rsidRPr="005E0F47">
        <w:rPr>
          <w:rFonts w:ascii="Times New Roman" w:hAnsi="Times New Roman" w:cs="Times New Roman"/>
        </w:rPr>
        <w:t xml:space="preserve"> the Supreme Court of New Jersey held that “‘an award may be made on the basis of an impending rezoning (as an accomplished fact), minus a discount factor t</w:t>
      </w:r>
      <w:r>
        <w:rPr>
          <w:rFonts w:ascii="Times New Roman" w:hAnsi="Times New Roman" w:cs="Times New Roman"/>
        </w:rPr>
        <w:t xml:space="preserve">o allow for the </w:t>
      </w:r>
      <w:r>
        <w:rPr>
          <w:rFonts w:ascii="Times New Roman" w:hAnsi="Times New Roman" w:cs="Times New Roman"/>
        </w:rPr>
        <w:lastRenderedPageBreak/>
        <w:t>uncertainty.’”</w:t>
      </w:r>
      <w:r w:rsidRPr="00153A90">
        <w:rPr>
          <w:rStyle w:val="FootnoteReference"/>
          <w:rFonts w:ascii="Times New Roman" w:hAnsi="Times New Roman" w:cs="Times New Roman"/>
          <w:vertAlign w:val="superscript"/>
        </w:rPr>
        <w:t xml:space="preserve"> </w:t>
      </w:r>
      <w:r w:rsidRPr="00153A90">
        <w:rPr>
          <w:rStyle w:val="FootnoteReference"/>
          <w:rFonts w:ascii="Times New Roman" w:hAnsi="Times New Roman" w:cs="Times New Roman"/>
          <w:vertAlign w:val="superscript"/>
        </w:rPr>
        <w:footnoteReference w:id="109"/>
      </w:r>
      <w:r>
        <w:rPr>
          <w:rFonts w:ascii="Times New Roman" w:hAnsi="Times New Roman" w:cs="Times New Roman"/>
        </w:rPr>
        <w:t xml:space="preserve"> </w:t>
      </w:r>
      <w:r w:rsidRPr="005E0F47">
        <w:rPr>
          <w:rFonts w:ascii="Times New Roman" w:hAnsi="Times New Roman" w:cs="Times New Roman"/>
        </w:rPr>
        <w:t xml:space="preserve">Although again, this was a case involving a </w:t>
      </w:r>
      <w:r w:rsidRPr="005E0F47">
        <w:rPr>
          <w:rFonts w:ascii="Times New Roman" w:hAnsi="Times New Roman" w:cs="Times New Roman"/>
          <w:i/>
        </w:rPr>
        <w:t xml:space="preserve">potential </w:t>
      </w:r>
      <w:r w:rsidRPr="005E0F47">
        <w:rPr>
          <w:rFonts w:ascii="Times New Roman" w:hAnsi="Times New Roman" w:cs="Times New Roman"/>
        </w:rPr>
        <w:t xml:space="preserve">for rezoning, not an actual rezoning subsequent to the date of taking. However, the citation to </w:t>
      </w:r>
      <w:r w:rsidRPr="005E0F47">
        <w:rPr>
          <w:rFonts w:ascii="Times New Roman" w:hAnsi="Times New Roman" w:cs="Times New Roman"/>
          <w:i/>
        </w:rPr>
        <w:t xml:space="preserve">Jones </w:t>
      </w:r>
      <w:r w:rsidRPr="005E0F47">
        <w:rPr>
          <w:rFonts w:ascii="Times New Roman" w:hAnsi="Times New Roman" w:cs="Times New Roman"/>
        </w:rPr>
        <w:t>and this quote indicates a subsequent actual rezoning would be admissible</w:t>
      </w:r>
      <w:r>
        <w:rPr>
          <w:rFonts w:ascii="Times New Roman" w:hAnsi="Times New Roman" w:cs="Times New Roman"/>
        </w:rPr>
        <w:t xml:space="preserve"> </w:t>
      </w:r>
      <w:r w:rsidRPr="005E0F47">
        <w:rPr>
          <w:rFonts w:ascii="Times New Roman" w:hAnsi="Times New Roman" w:cs="Times New Roman"/>
        </w:rPr>
        <w:t>evidence in New Jersey.</w:t>
      </w:r>
    </w:p>
    <w:p w:rsidR="00FC122A" w:rsidRPr="00534155" w:rsidRDefault="00FC122A" w:rsidP="00FC122A">
      <w:pPr>
        <w:widowControl/>
        <w:tabs>
          <w:tab w:val="left" w:pos="3780"/>
          <w:tab w:val="left" w:pos="4320"/>
          <w:tab w:val="left" w:pos="5040"/>
          <w:tab w:val="left" w:pos="5760"/>
          <w:tab w:val="left" w:pos="6480"/>
          <w:tab w:val="left" w:pos="7200"/>
          <w:tab w:val="left" w:pos="7920"/>
          <w:tab w:val="left" w:pos="8640"/>
          <w:tab w:val="left" w:pos="9360"/>
        </w:tabs>
        <w:spacing w:line="480" w:lineRule="auto"/>
        <w:ind w:left="3067" w:hanging="907"/>
        <w:jc w:val="both"/>
        <w:rPr>
          <w:rFonts w:ascii="Times New Roman" w:hAnsi="Times New Roman" w:cs="Times New Roman"/>
          <w:b/>
          <w:bCs/>
        </w:rPr>
      </w:pPr>
      <w:r w:rsidRPr="00534155">
        <w:rPr>
          <w:rFonts w:ascii="Times New Roman" w:hAnsi="Times New Roman" w:cs="Times New Roman"/>
          <w:b/>
          <w:bCs/>
        </w:rPr>
        <w:fldChar w:fldCharType="begin"/>
      </w:r>
      <w:r w:rsidRPr="00534155">
        <w:rPr>
          <w:rFonts w:ascii="Times New Roman" w:hAnsi="Times New Roman" w:cs="Times New Roman"/>
          <w:b/>
          <w:bCs/>
        </w:rPr>
        <w:instrText>LISTNUM 3 \l 4</w:instrText>
      </w:r>
      <w:r w:rsidRPr="00534155">
        <w:rPr>
          <w:rFonts w:ascii="Times New Roman" w:hAnsi="Times New Roman" w:cs="Times New Roman"/>
          <w:b/>
          <w:bCs/>
        </w:rPr>
        <w:fldChar w:fldCharType="end"/>
      </w:r>
      <w:r w:rsidRPr="00534155">
        <w:rPr>
          <w:rFonts w:ascii="Times New Roman" w:hAnsi="Times New Roman" w:cs="Times New Roman"/>
          <w:b/>
          <w:bCs/>
        </w:rPr>
        <w:tab/>
        <w:t>Massachusetts</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Roach v. Newton Redevelopment Authority</w:t>
      </w:r>
      <w:r w:rsidRPr="00534155">
        <w:rPr>
          <w:rStyle w:val="FootnoteReference"/>
          <w:rFonts w:ascii="Times New Roman" w:hAnsi="Times New Roman" w:cs="Times New Roman"/>
          <w:vertAlign w:val="superscript"/>
        </w:rPr>
        <w:footnoteReference w:id="110"/>
      </w:r>
      <w:r>
        <w:rPr>
          <w:rFonts w:ascii="Times New Roman" w:hAnsi="Times New Roman" w:cs="Times New Roman"/>
          <w:iCs/>
        </w:rPr>
        <w:t>,</w:t>
      </w:r>
      <w:r w:rsidRPr="00534155">
        <w:rPr>
          <w:rFonts w:ascii="Times New Roman" w:hAnsi="Times New Roman" w:cs="Times New Roman"/>
        </w:rPr>
        <w:t xml:space="preserve"> the </w:t>
      </w:r>
      <w:r>
        <w:rPr>
          <w:rFonts w:ascii="Times New Roman" w:hAnsi="Times New Roman" w:cs="Times New Roman"/>
        </w:rPr>
        <w:t xml:space="preserve">Massachusetts Supreme </w:t>
      </w:r>
      <w:r w:rsidRPr="00534155">
        <w:rPr>
          <w:rFonts w:ascii="Times New Roman" w:hAnsi="Times New Roman" w:cs="Times New Roman"/>
        </w:rPr>
        <w:t>Court considered whether evidence of a post-taking rezoni</w:t>
      </w:r>
      <w:r>
        <w:rPr>
          <w:rFonts w:ascii="Times New Roman" w:hAnsi="Times New Roman" w:cs="Times New Roman"/>
        </w:rPr>
        <w:t>ng should be admitted at trial.</w:t>
      </w:r>
      <w:r w:rsidRPr="00534155">
        <w:rPr>
          <w:rFonts w:ascii="Times New Roman" w:hAnsi="Times New Roman" w:cs="Times New Roman"/>
        </w:rPr>
        <w:t xml:space="preserve"> The </w:t>
      </w:r>
      <w:r>
        <w:rPr>
          <w:rFonts w:ascii="Times New Roman" w:hAnsi="Times New Roman" w:cs="Times New Roman"/>
        </w:rPr>
        <w:t>c</w:t>
      </w:r>
      <w:r w:rsidRPr="00534155">
        <w:rPr>
          <w:rFonts w:ascii="Times New Roman" w:hAnsi="Times New Roman" w:cs="Times New Roman"/>
        </w:rPr>
        <w:t xml:space="preserve">ourt was asked to determine whether there was a reasonable possibility at the time of the taking that the land would soon be rezoned from </w:t>
      </w:r>
      <w:r>
        <w:rPr>
          <w:rFonts w:ascii="Times New Roman" w:hAnsi="Times New Roman" w:cs="Times New Roman"/>
        </w:rPr>
        <w:t>residential to commercial uses.</w:t>
      </w:r>
      <w:r w:rsidRPr="00534155">
        <w:rPr>
          <w:rFonts w:ascii="Times New Roman" w:hAnsi="Times New Roman" w:cs="Times New Roman"/>
        </w:rPr>
        <w:t xml:space="preserve"> Initially the case </w:t>
      </w:r>
      <w:r>
        <w:rPr>
          <w:rFonts w:ascii="Times New Roman" w:hAnsi="Times New Roman" w:cs="Times New Roman"/>
        </w:rPr>
        <w:t>was heard without a jury, and the judge found</w:t>
      </w:r>
      <w:r w:rsidRPr="00534155">
        <w:rPr>
          <w:rFonts w:ascii="Times New Roman" w:hAnsi="Times New Roman" w:cs="Times New Roman"/>
        </w:rPr>
        <w:t xml:space="preserve"> “there was a reasonable probability that a zoning change could be obtained for that purpose by a private individual. I find that such a zoning change was obtained by the Newton Redevelopment Authority and that this land is presently being utilized for these purposes.”</w:t>
      </w:r>
      <w:r w:rsidRPr="00534155">
        <w:rPr>
          <w:rStyle w:val="FootnoteReference"/>
          <w:rFonts w:ascii="Times New Roman" w:hAnsi="Times New Roman" w:cs="Times New Roman"/>
          <w:vertAlign w:val="superscript"/>
        </w:rPr>
        <w:footnoteReference w:id="111"/>
      </w:r>
      <w:r>
        <w:rPr>
          <w:rFonts w:ascii="Times New Roman" w:hAnsi="Times New Roman" w:cs="Times New Roman"/>
        </w:rPr>
        <w:t xml:space="preserve"> </w:t>
      </w:r>
      <w:r w:rsidRPr="00534155">
        <w:rPr>
          <w:rFonts w:ascii="Times New Roman" w:hAnsi="Times New Roman" w:cs="Times New Roman"/>
        </w:rPr>
        <w:t>The case was reheard before a jury, but the original findings of the fir</w:t>
      </w:r>
      <w:r>
        <w:rPr>
          <w:rFonts w:ascii="Times New Roman" w:hAnsi="Times New Roman" w:cs="Times New Roman"/>
        </w:rPr>
        <w:t>st judge were read to the jury.</w:t>
      </w:r>
      <w:r w:rsidRPr="00534155">
        <w:rPr>
          <w:rFonts w:ascii="Times New Roman" w:hAnsi="Times New Roman" w:cs="Times New Roman"/>
        </w:rPr>
        <w:t xml:space="preserve"> When asked “Just prior to the takings in 1969 and 1970 (and for these purposes they may be considered as one taking), was there a reasonable probability that the land in question owned by the petitioner would soon be rezoned from single family residence use to commercial or </w:t>
      </w:r>
      <w:r>
        <w:rPr>
          <w:rFonts w:ascii="Times New Roman" w:hAnsi="Times New Roman" w:cs="Times New Roman"/>
        </w:rPr>
        <w:t>business use?</w:t>
      </w:r>
      <w:r w:rsidRPr="00534155">
        <w:rPr>
          <w:rFonts w:ascii="Times New Roman" w:hAnsi="Times New Roman" w:cs="Times New Roman"/>
        </w:rPr>
        <w:t>”</w:t>
      </w:r>
      <w:r>
        <w:rPr>
          <w:rFonts w:ascii="Times New Roman" w:hAnsi="Times New Roman" w:cs="Times New Roman"/>
        </w:rPr>
        <w:t>,</w:t>
      </w:r>
      <w:r w:rsidRPr="00534155">
        <w:rPr>
          <w:rFonts w:ascii="Times New Roman" w:hAnsi="Times New Roman" w:cs="Times New Roman"/>
        </w:rPr>
        <w:t xml:space="preserve"> the j</w:t>
      </w:r>
      <w:r>
        <w:rPr>
          <w:rFonts w:ascii="Times New Roman" w:hAnsi="Times New Roman" w:cs="Times New Roman"/>
        </w:rPr>
        <w:t>ury responded, “Yes”.</w:t>
      </w:r>
      <w:r w:rsidRPr="00534155">
        <w:rPr>
          <w:rStyle w:val="FootnoteReference"/>
          <w:rFonts w:ascii="Times New Roman" w:hAnsi="Times New Roman" w:cs="Times New Roman"/>
          <w:vertAlign w:val="superscript"/>
        </w:rPr>
        <w:footnoteReference w:id="112"/>
      </w:r>
      <w:r>
        <w:rPr>
          <w:rFonts w:ascii="Times New Roman" w:hAnsi="Times New Roman" w:cs="Times New Roman"/>
        </w:rPr>
        <w:t xml:space="preserve"> </w:t>
      </w:r>
      <w:r w:rsidRPr="00534155">
        <w:rPr>
          <w:rFonts w:ascii="Times New Roman" w:hAnsi="Times New Roman" w:cs="Times New Roman"/>
        </w:rPr>
        <w:t>Based on these facts, the appellate court found sufficient evidence to permit a jury to reach such a conclusion.</w:t>
      </w:r>
      <w:r>
        <w:rPr>
          <w:rFonts w:ascii="Times New Roman" w:hAnsi="Times New Roman" w:cs="Times New Roman"/>
        </w:rPr>
        <w:t xml:space="preserve"> </w:t>
      </w:r>
      <w:r w:rsidRPr="00534155">
        <w:rPr>
          <w:rFonts w:ascii="Times New Roman" w:hAnsi="Times New Roman" w:cs="Times New Roman"/>
        </w:rPr>
        <w:t xml:space="preserve">Keeping in mind that “the fact that a potential use is prohibited by the zoning law at the time of the taking does not prevent its consideration as an element of value ‘if there was then a reasonable prospect that the bar would soon be lifted,’” and that in deciding whether such a use should be considered, “the judge has </w:t>
      </w:r>
      <w:r>
        <w:rPr>
          <w:rFonts w:ascii="Times New Roman" w:hAnsi="Times New Roman" w:cs="Times New Roman"/>
        </w:rPr>
        <w:t xml:space="preserve">a </w:t>
      </w:r>
      <w:r>
        <w:rPr>
          <w:rFonts w:ascii="Times New Roman" w:hAnsi="Times New Roman" w:cs="Times New Roman"/>
        </w:rPr>
        <w:lastRenderedPageBreak/>
        <w:t>margin of ultimate discretion</w:t>
      </w:r>
      <w:r w:rsidRPr="00534155">
        <w:rPr>
          <w:rFonts w:ascii="Times New Roman" w:hAnsi="Times New Roman" w:cs="Times New Roman"/>
        </w:rPr>
        <w:t>”</w:t>
      </w:r>
      <w:r>
        <w:rPr>
          <w:rFonts w:ascii="Times New Roman" w:hAnsi="Times New Roman" w:cs="Times New Roman"/>
        </w:rPr>
        <w:t>,</w:t>
      </w:r>
      <w:r w:rsidRPr="00534155">
        <w:rPr>
          <w:rStyle w:val="FootnoteReference"/>
          <w:rFonts w:ascii="Times New Roman" w:hAnsi="Times New Roman" w:cs="Times New Roman"/>
          <w:vertAlign w:val="superscript"/>
        </w:rPr>
        <w:footnoteReference w:id="113"/>
      </w:r>
      <w:r>
        <w:rPr>
          <w:rFonts w:ascii="Times New Roman" w:hAnsi="Times New Roman" w:cs="Times New Roman"/>
        </w:rPr>
        <w:t xml:space="preserve"> t</w:t>
      </w:r>
      <w:r w:rsidRPr="00534155">
        <w:rPr>
          <w:rFonts w:ascii="Times New Roman" w:hAnsi="Times New Roman" w:cs="Times New Roman"/>
        </w:rPr>
        <w:t>he court further observed that “[a]ctual amendment of the zoning law, subsequent to the taking, may be ‘weighty evidence’ of such a prospect.”</w:t>
      </w:r>
      <w:r w:rsidRPr="00534155">
        <w:rPr>
          <w:rStyle w:val="FootnoteReference"/>
          <w:rFonts w:ascii="Times New Roman" w:hAnsi="Times New Roman" w:cs="Times New Roman"/>
          <w:vertAlign w:val="superscript"/>
        </w:rPr>
        <w:footnoteReference w:id="114"/>
      </w:r>
      <w:r w:rsidRPr="00534155">
        <w:rPr>
          <w:rFonts w:ascii="Times New Roman" w:hAnsi="Times New Roman" w:cs="Times New Roman"/>
        </w:rPr>
        <w:t xml:space="preserve">  However, the </w:t>
      </w:r>
      <w:r>
        <w:rPr>
          <w:rFonts w:ascii="Times New Roman" w:hAnsi="Times New Roman" w:cs="Times New Roman"/>
        </w:rPr>
        <w:t>c</w:t>
      </w:r>
      <w:r w:rsidRPr="00534155">
        <w:rPr>
          <w:rFonts w:ascii="Times New Roman" w:hAnsi="Times New Roman" w:cs="Times New Roman"/>
        </w:rPr>
        <w:t xml:space="preserve">ourt also </w:t>
      </w:r>
      <w:r w:rsidR="00294955" w:rsidRPr="00534155">
        <w:rPr>
          <w:rFonts w:ascii="Times New Roman" w:hAnsi="Times New Roman" w:cs="Times New Roman"/>
        </w:rPr>
        <w:t>noted,</w:t>
      </w:r>
      <w:r w:rsidRPr="00534155">
        <w:rPr>
          <w:rFonts w:ascii="Times New Roman" w:hAnsi="Times New Roman" w:cs="Times New Roman"/>
        </w:rPr>
        <w:t xml:space="preserve"> “a person whose land is taken for public use cannot recover the enhancement in value due to the improvement for which the land is taken.”</w:t>
      </w:r>
      <w:r w:rsidRPr="00534155">
        <w:rPr>
          <w:rStyle w:val="FootnoteReference"/>
          <w:rFonts w:ascii="Times New Roman" w:hAnsi="Times New Roman" w:cs="Times New Roman"/>
          <w:vertAlign w:val="superscript"/>
        </w:rPr>
        <w:footnoteReference w:id="115"/>
      </w:r>
      <w:r>
        <w:rPr>
          <w:rFonts w:ascii="Times New Roman" w:hAnsi="Times New Roman" w:cs="Times New Roman"/>
        </w:rPr>
        <w:t xml:space="preserve"> </w:t>
      </w:r>
      <w:r w:rsidRPr="00534155">
        <w:rPr>
          <w:rFonts w:ascii="Times New Roman" w:hAnsi="Times New Roman" w:cs="Times New Roman"/>
        </w:rPr>
        <w:t xml:space="preserve">Therefore, the </w:t>
      </w:r>
      <w:r>
        <w:rPr>
          <w:rFonts w:ascii="Times New Roman" w:hAnsi="Times New Roman" w:cs="Times New Roman"/>
        </w:rPr>
        <w:t>c</w:t>
      </w:r>
      <w:r w:rsidRPr="00534155">
        <w:rPr>
          <w:rFonts w:ascii="Times New Roman" w:hAnsi="Times New Roman" w:cs="Times New Roman"/>
        </w:rPr>
        <w:t>ourt concluded, “a probability of rezoning or an actual change in zoning cannot be taken into account if it ‘results from the fact that the project which is the basis for the taking was impending.’”</w:t>
      </w:r>
      <w:r w:rsidRPr="00534155">
        <w:rPr>
          <w:rStyle w:val="FootnoteReference"/>
          <w:rFonts w:ascii="Times New Roman" w:hAnsi="Times New Roman" w:cs="Times New Roman"/>
          <w:vertAlign w:val="superscript"/>
        </w:rPr>
        <w:footnoteReference w:id="116"/>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Having established the tension between the relevance of the post-taking rezoning and the potential for inflated land values resulting from the project, the Court elected to admit evidence of post-taki</w:t>
      </w:r>
      <w:r>
        <w:rPr>
          <w:rFonts w:ascii="Times New Roman" w:hAnsi="Times New Roman" w:cs="Times New Roman"/>
        </w:rPr>
        <w:t>ng rezoning in a limited role. The c</w:t>
      </w:r>
      <w:r w:rsidRPr="00534155">
        <w:rPr>
          <w:rFonts w:ascii="Times New Roman" w:hAnsi="Times New Roman" w:cs="Times New Roman"/>
        </w:rPr>
        <w:t xml:space="preserve">ourt cited </w:t>
      </w:r>
      <w:r w:rsidRPr="00534155">
        <w:rPr>
          <w:rFonts w:ascii="Times New Roman" w:hAnsi="Times New Roman" w:cs="Times New Roman"/>
          <w:i/>
          <w:iCs/>
        </w:rPr>
        <w:t>Gorga</w:t>
      </w:r>
      <w:r w:rsidRPr="00534155">
        <w:rPr>
          <w:rFonts w:ascii="Times New Roman" w:hAnsi="Times New Roman" w:cs="Times New Roman"/>
        </w:rPr>
        <w:t xml:space="preserve"> for the principle that the “limited role” of such evidence must be only to prove the status of the property as of the date of the taking.</w:t>
      </w:r>
      <w:r w:rsidRPr="00534155">
        <w:rPr>
          <w:rStyle w:val="FootnoteReference"/>
          <w:rFonts w:ascii="Times New Roman" w:hAnsi="Times New Roman" w:cs="Times New Roman"/>
          <w:vertAlign w:val="superscript"/>
        </w:rPr>
        <w:footnoteReference w:id="117"/>
      </w:r>
      <w:r>
        <w:rPr>
          <w:rFonts w:ascii="Times New Roman" w:hAnsi="Times New Roman" w:cs="Times New Roman"/>
        </w:rPr>
        <w:t xml:space="preserve"> </w:t>
      </w:r>
      <w:r w:rsidRPr="00534155">
        <w:rPr>
          <w:rFonts w:ascii="Times New Roman" w:hAnsi="Times New Roman" w:cs="Times New Roman"/>
        </w:rPr>
        <w:t xml:space="preserve">In keeping with this principle, rather than speculating as to the </w:t>
      </w:r>
      <w:r>
        <w:rPr>
          <w:rFonts w:ascii="Times New Roman" w:hAnsi="Times New Roman" w:cs="Times New Roman"/>
        </w:rPr>
        <w:t>city’s motives</w:t>
      </w:r>
      <w:r w:rsidRPr="00534155">
        <w:rPr>
          <w:rFonts w:ascii="Times New Roman" w:hAnsi="Times New Roman" w:cs="Times New Roman"/>
        </w:rPr>
        <w:t xml:space="preserve"> in rezoning the property, the </w:t>
      </w:r>
      <w:r>
        <w:rPr>
          <w:rFonts w:ascii="Times New Roman" w:hAnsi="Times New Roman" w:cs="Times New Roman"/>
        </w:rPr>
        <w:t>c</w:t>
      </w:r>
      <w:r w:rsidRPr="00534155">
        <w:rPr>
          <w:rFonts w:ascii="Times New Roman" w:hAnsi="Times New Roman" w:cs="Times New Roman"/>
        </w:rPr>
        <w:t>ourt elected to permit the post-taking rezoning evidence to be admitted only to demonstrate the possibility that a private developer could have obtained the same rezoning.</w:t>
      </w:r>
      <w:r w:rsidRPr="00534155">
        <w:rPr>
          <w:rStyle w:val="FootnoteReference"/>
          <w:rFonts w:ascii="Times New Roman" w:hAnsi="Times New Roman" w:cs="Times New Roman"/>
          <w:vertAlign w:val="superscript"/>
        </w:rPr>
        <w:footnoteReference w:id="118"/>
      </w:r>
    </w:p>
    <w:p w:rsidR="001C6202" w:rsidRPr="00C5218E" w:rsidRDefault="00FC122A" w:rsidP="005361AD">
      <w:pPr>
        <w:widowControl/>
        <w:tabs>
          <w:tab w:val="left" w:pos="2880"/>
          <w:tab w:val="left" w:pos="4320"/>
          <w:tab w:val="left" w:pos="5040"/>
          <w:tab w:val="left" w:pos="5760"/>
          <w:tab w:val="left" w:pos="6480"/>
          <w:tab w:val="left" w:pos="7200"/>
          <w:tab w:val="left" w:pos="7920"/>
          <w:tab w:val="left" w:pos="8640"/>
          <w:tab w:val="left" w:pos="9360"/>
        </w:tabs>
        <w:spacing w:line="480" w:lineRule="auto"/>
        <w:ind w:left="2250"/>
        <w:jc w:val="both"/>
        <w:rPr>
          <w:rFonts w:ascii="Times New Roman" w:hAnsi="Times New Roman" w:cs="Times New Roman"/>
        </w:rPr>
      </w:pPr>
      <w:r>
        <w:rPr>
          <w:rFonts w:ascii="Times New Roman" w:hAnsi="Times New Roman" w:cs="Times New Roman"/>
          <w:b/>
          <w:bCs/>
        </w:rPr>
        <w:t>c</w:t>
      </w:r>
      <w:r w:rsidR="005361AD">
        <w:rPr>
          <w:rFonts w:ascii="Times New Roman" w:hAnsi="Times New Roman" w:cs="Times New Roman"/>
          <w:b/>
          <w:bCs/>
        </w:rPr>
        <w:t>.</w:t>
      </w:r>
      <w:r w:rsidR="005361AD">
        <w:rPr>
          <w:rFonts w:ascii="Times New Roman" w:hAnsi="Times New Roman" w:cs="Times New Roman"/>
          <w:b/>
          <w:bCs/>
        </w:rPr>
        <w:tab/>
      </w:r>
      <w:r w:rsidR="001C6202" w:rsidRPr="00C5218E">
        <w:rPr>
          <w:rFonts w:ascii="Times New Roman" w:hAnsi="Times New Roman" w:cs="Times New Roman"/>
          <w:b/>
          <w:bCs/>
        </w:rPr>
        <w:t>Maryland</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Reindollar v. Kaiser</w:t>
      </w:r>
      <w:r w:rsidRPr="00534155">
        <w:rPr>
          <w:rStyle w:val="FootnoteReference"/>
          <w:rFonts w:ascii="Times New Roman" w:hAnsi="Times New Roman" w:cs="Times New Roman"/>
          <w:vertAlign w:val="superscript"/>
        </w:rPr>
        <w:footnoteReference w:id="119"/>
      </w:r>
      <w:r w:rsidR="00153A90">
        <w:rPr>
          <w:rFonts w:ascii="Times New Roman" w:hAnsi="Times New Roman" w:cs="Times New Roman"/>
          <w:i/>
          <w:iCs/>
        </w:rPr>
        <w:t>,</w:t>
      </w:r>
      <w:r w:rsidRPr="00534155">
        <w:rPr>
          <w:rFonts w:ascii="Times New Roman" w:hAnsi="Times New Roman" w:cs="Times New Roman"/>
        </w:rPr>
        <w:t xml:space="preserve"> the C</w:t>
      </w:r>
      <w:r w:rsidR="00153A90">
        <w:rPr>
          <w:rFonts w:ascii="Times New Roman" w:hAnsi="Times New Roman" w:cs="Times New Roman"/>
        </w:rPr>
        <w:t xml:space="preserve">ourt of Appeals of Maryland decided </w:t>
      </w:r>
      <w:r w:rsidRPr="00534155">
        <w:rPr>
          <w:rFonts w:ascii="Times New Roman" w:hAnsi="Times New Roman" w:cs="Times New Roman"/>
        </w:rPr>
        <w:t>a case where zoning laws had taken effect after the date of takin</w:t>
      </w:r>
      <w:r w:rsidR="00153A90">
        <w:rPr>
          <w:rFonts w:ascii="Times New Roman" w:hAnsi="Times New Roman" w:cs="Times New Roman"/>
        </w:rPr>
        <w:t xml:space="preserve">g of the property in question. </w:t>
      </w:r>
      <w:r w:rsidRPr="00534155">
        <w:rPr>
          <w:rFonts w:ascii="Times New Roman" w:hAnsi="Times New Roman" w:cs="Times New Roman"/>
        </w:rPr>
        <w:t>The question was whether or not the evidence of the subsequent zoning could be admitted at trial when determining t</w:t>
      </w:r>
      <w:r w:rsidR="00153A90">
        <w:rPr>
          <w:rFonts w:ascii="Times New Roman" w:hAnsi="Times New Roman" w:cs="Times New Roman"/>
        </w:rPr>
        <w:t>he value of the property taken.</w:t>
      </w:r>
      <w:r w:rsidRPr="00534155">
        <w:rPr>
          <w:rFonts w:ascii="Times New Roman" w:hAnsi="Times New Roman" w:cs="Times New Roman"/>
        </w:rPr>
        <w:t xml:space="preserve"> In </w:t>
      </w:r>
      <w:r w:rsidRPr="00534155">
        <w:rPr>
          <w:rFonts w:ascii="Times New Roman" w:hAnsi="Times New Roman" w:cs="Times New Roman"/>
          <w:i/>
          <w:iCs/>
        </w:rPr>
        <w:t>Reindollar</w:t>
      </w:r>
      <w:r w:rsidRPr="00534155">
        <w:rPr>
          <w:rFonts w:ascii="Times New Roman" w:hAnsi="Times New Roman" w:cs="Times New Roman"/>
        </w:rPr>
        <w:t xml:space="preserve">, the trial court had instructed the jury that “[y]ou may take into </w:t>
      </w:r>
      <w:r w:rsidRPr="00534155">
        <w:rPr>
          <w:rFonts w:ascii="Times New Roman" w:hAnsi="Times New Roman" w:cs="Times New Roman"/>
        </w:rPr>
        <w:lastRenderedPageBreak/>
        <w:t>consideration the fact that Howard County Zoning Laws had not become operative at the time the property was taken, so that at that time it could have been utilized or sold for any purpose the owner decided to utilize or sell it.”</w:t>
      </w:r>
      <w:r w:rsidRPr="00534155">
        <w:rPr>
          <w:rStyle w:val="FootnoteReference"/>
          <w:rFonts w:ascii="Times New Roman" w:hAnsi="Times New Roman" w:cs="Times New Roman"/>
          <w:vertAlign w:val="superscript"/>
        </w:rPr>
        <w:footnoteReference w:id="120"/>
      </w:r>
      <w:r w:rsidR="00153A90">
        <w:rPr>
          <w:rFonts w:ascii="Times New Roman" w:hAnsi="Times New Roman" w:cs="Times New Roman"/>
        </w:rPr>
        <w:t xml:space="preserve"> </w:t>
      </w:r>
      <w:r w:rsidRPr="00534155">
        <w:rPr>
          <w:rFonts w:ascii="Times New Roman" w:hAnsi="Times New Roman" w:cs="Times New Roman"/>
        </w:rPr>
        <w:t xml:space="preserve">At </w:t>
      </w:r>
      <w:r w:rsidR="00294955" w:rsidRPr="00534155">
        <w:rPr>
          <w:rFonts w:ascii="Times New Roman" w:hAnsi="Times New Roman" w:cs="Times New Roman"/>
        </w:rPr>
        <w:t>trial,</w:t>
      </w:r>
      <w:r w:rsidRPr="00534155">
        <w:rPr>
          <w:rFonts w:ascii="Times New Roman" w:hAnsi="Times New Roman" w:cs="Times New Roman"/>
        </w:rPr>
        <w:t xml:space="preserve"> the lack of zoning at the time of the taking was brought out, and it was noted that the use at the time of the taking was unregulated</w:t>
      </w:r>
      <w:r w:rsidR="00294955" w:rsidRPr="00534155">
        <w:rPr>
          <w:rFonts w:ascii="Times New Roman" w:hAnsi="Times New Roman" w:cs="Times New Roman"/>
        </w:rPr>
        <w:t xml:space="preserve">. </w:t>
      </w:r>
      <w:r w:rsidRPr="00534155">
        <w:rPr>
          <w:rFonts w:ascii="Times New Roman" w:hAnsi="Times New Roman" w:cs="Times New Roman"/>
        </w:rPr>
        <w:t>By implication, this also makes clear that at the time of the taking, the land wa</w:t>
      </w:r>
      <w:r w:rsidR="00153A90">
        <w:rPr>
          <w:rFonts w:ascii="Times New Roman" w:hAnsi="Times New Roman" w:cs="Times New Roman"/>
        </w:rPr>
        <w:t>s regulated by the zoning code.</w:t>
      </w:r>
      <w:r w:rsidRPr="00534155">
        <w:rPr>
          <w:rFonts w:ascii="Times New Roman" w:hAnsi="Times New Roman" w:cs="Times New Roman"/>
        </w:rPr>
        <w:t xml:space="preserve"> The </w:t>
      </w:r>
      <w:r w:rsidR="00153A90">
        <w:rPr>
          <w:rFonts w:ascii="Times New Roman" w:hAnsi="Times New Roman" w:cs="Times New Roman"/>
        </w:rPr>
        <w:t>c</w:t>
      </w:r>
      <w:r w:rsidRPr="00534155">
        <w:rPr>
          <w:rFonts w:ascii="Times New Roman" w:hAnsi="Times New Roman" w:cs="Times New Roman"/>
        </w:rPr>
        <w:t xml:space="preserve">ourt </w:t>
      </w:r>
      <w:r w:rsidR="00294955" w:rsidRPr="00534155">
        <w:rPr>
          <w:rFonts w:ascii="Times New Roman" w:hAnsi="Times New Roman" w:cs="Times New Roman"/>
        </w:rPr>
        <w:t>noted,</w:t>
      </w:r>
      <w:r w:rsidRPr="00534155">
        <w:rPr>
          <w:rFonts w:ascii="Times New Roman" w:hAnsi="Times New Roman" w:cs="Times New Roman"/>
        </w:rPr>
        <w:t xml:space="preserve"> “the compensation to which appellees [landowners] in this case were entitled was the actual market value of the property condemned at the time of the taking</w:t>
      </w:r>
      <w:r w:rsidR="00294955"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21"/>
      </w:r>
      <w:r w:rsidRPr="00534155">
        <w:rPr>
          <w:rFonts w:ascii="Times New Roman" w:hAnsi="Times New Roman" w:cs="Times New Roman"/>
        </w:rPr>
        <w:t xml:space="preserve"> which should have reflected the unrestricted use at the time</w:t>
      </w:r>
      <w:r w:rsidR="00294955" w:rsidRPr="00534155">
        <w:rPr>
          <w:rFonts w:ascii="Times New Roman" w:hAnsi="Times New Roman" w:cs="Times New Roman"/>
        </w:rPr>
        <w:t xml:space="preserve">. </w:t>
      </w:r>
      <w:r w:rsidRPr="00534155">
        <w:rPr>
          <w:rFonts w:ascii="Times New Roman" w:hAnsi="Times New Roman" w:cs="Times New Roman"/>
        </w:rPr>
        <w:t>Thus, although the trial court had permitted the admission of evidence that the land had been rezoned subsequent to the taking, the Court of Appeals found that the judge’s instruction did not clearly prejudice the Appellee-landowner, and thus the trial court’s decision was affirmed.</w:t>
      </w:r>
    </w:p>
    <w:p w:rsidR="001C6202" w:rsidRPr="00534155" w:rsidRDefault="00592ECB" w:rsidP="00592EC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122A">
        <w:rPr>
          <w:rFonts w:ascii="Times New Roman" w:hAnsi="Times New Roman" w:cs="Times New Roman"/>
          <w:b/>
          <w:bCs/>
        </w:rPr>
        <w:t>d</w:t>
      </w:r>
      <w:r w:rsidR="001C6202" w:rsidRPr="00534155">
        <w:rPr>
          <w:rFonts w:ascii="Times New Roman" w:hAnsi="Times New Roman" w:cs="Times New Roman"/>
          <w:b/>
          <w:bCs/>
        </w:rPr>
        <w:t>.</w:t>
      </w:r>
      <w:r w:rsidR="001C6202" w:rsidRPr="00534155">
        <w:rPr>
          <w:rFonts w:ascii="Times New Roman" w:hAnsi="Times New Roman" w:cs="Times New Roman"/>
          <w:b/>
          <w:bCs/>
        </w:rPr>
        <w:tab/>
        <w:t>New York</w:t>
      </w:r>
    </w:p>
    <w:p w:rsidR="001C6202"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In a very brief decision, the Supreme Court of New York</w:t>
      </w:r>
      <w:r w:rsidR="00620FB3">
        <w:rPr>
          <w:rFonts w:ascii="Times New Roman" w:hAnsi="Times New Roman" w:cs="Times New Roman"/>
        </w:rPr>
        <w:t>, Appeals Division,</w:t>
      </w:r>
      <w:r w:rsidRPr="00534155">
        <w:rPr>
          <w:rFonts w:ascii="Times New Roman" w:hAnsi="Times New Roman" w:cs="Times New Roman"/>
        </w:rPr>
        <w:t xml:space="preserve"> addressed the post-taking rezoning issue in </w:t>
      </w:r>
      <w:r w:rsidRPr="00534155">
        <w:rPr>
          <w:rFonts w:ascii="Times New Roman" w:hAnsi="Times New Roman" w:cs="Times New Roman"/>
          <w:i/>
          <w:iCs/>
        </w:rPr>
        <w:t>Jones v. State</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22"/>
      </w:r>
      <w:r w:rsidRPr="00534155">
        <w:rPr>
          <w:rFonts w:ascii="Times New Roman" w:hAnsi="Times New Roman" w:cs="Times New Roman"/>
        </w:rPr>
        <w:t xml:space="preserve"> In </w:t>
      </w:r>
      <w:r w:rsidRPr="00534155">
        <w:rPr>
          <w:rFonts w:ascii="Times New Roman" w:hAnsi="Times New Roman" w:cs="Times New Roman"/>
          <w:i/>
          <w:iCs/>
        </w:rPr>
        <w:t>Jones</w:t>
      </w:r>
      <w:r w:rsidRPr="00534155">
        <w:rPr>
          <w:rFonts w:ascii="Times New Roman" w:hAnsi="Times New Roman" w:cs="Times New Roman"/>
        </w:rPr>
        <w:t xml:space="preserve">, the </w:t>
      </w:r>
      <w:r w:rsidR="00620FB3">
        <w:rPr>
          <w:rFonts w:ascii="Times New Roman" w:hAnsi="Times New Roman" w:cs="Times New Roman"/>
        </w:rPr>
        <w:t>c</w:t>
      </w:r>
      <w:r w:rsidRPr="00534155">
        <w:rPr>
          <w:rFonts w:ascii="Times New Roman" w:hAnsi="Times New Roman" w:cs="Times New Roman"/>
        </w:rPr>
        <w:t>ourt held that despite the fact that the parcel in question was zoned residential at the time of the taking, “claimant acquired parcels on each side of his 60-foot lot before the appropriation, thus indicating that there existed a reasonable probability of an imminent change in zoning for this assembled parcel from residential to commercial, justifying a commercial use as found by the court.”</w:t>
      </w:r>
      <w:r w:rsidRPr="00534155">
        <w:rPr>
          <w:rStyle w:val="FootnoteReference"/>
          <w:rFonts w:ascii="Times New Roman" w:hAnsi="Times New Roman" w:cs="Times New Roman"/>
          <w:vertAlign w:val="superscript"/>
        </w:rPr>
        <w:footnoteReference w:id="123"/>
      </w:r>
      <w:r w:rsidR="00620FB3">
        <w:rPr>
          <w:rFonts w:ascii="Times New Roman" w:hAnsi="Times New Roman" w:cs="Times New Roman"/>
        </w:rPr>
        <w:t xml:space="preserve"> </w:t>
      </w:r>
      <w:r w:rsidRPr="00534155">
        <w:rPr>
          <w:rFonts w:ascii="Times New Roman" w:hAnsi="Times New Roman" w:cs="Times New Roman"/>
        </w:rPr>
        <w:t xml:space="preserve">Furthermore, the </w:t>
      </w:r>
      <w:r w:rsidR="00620FB3">
        <w:rPr>
          <w:rFonts w:ascii="Times New Roman" w:hAnsi="Times New Roman" w:cs="Times New Roman"/>
        </w:rPr>
        <w:t>c</w:t>
      </w:r>
      <w:r w:rsidRPr="00534155">
        <w:rPr>
          <w:rFonts w:ascii="Times New Roman" w:hAnsi="Times New Roman" w:cs="Times New Roman"/>
        </w:rPr>
        <w:t>ourt stated</w:t>
      </w:r>
      <w:r w:rsidR="00620FB3">
        <w:rPr>
          <w:rFonts w:ascii="Times New Roman" w:hAnsi="Times New Roman" w:cs="Times New Roman"/>
        </w:rPr>
        <w:t xml:space="preserve">, </w:t>
      </w:r>
      <w:r w:rsidRPr="00534155">
        <w:rPr>
          <w:rFonts w:ascii="Times New Roman" w:hAnsi="Times New Roman" w:cs="Times New Roman"/>
        </w:rPr>
        <w:lastRenderedPageBreak/>
        <w:t>“Before the case was tried the assembled parcel had been rezoned to commercial. In these circumstances, we should allow for the 60-foot lot a commercial valuation . . .”</w:t>
      </w:r>
      <w:r w:rsidRPr="00534155">
        <w:rPr>
          <w:rStyle w:val="FootnoteReference"/>
          <w:rFonts w:ascii="Times New Roman" w:hAnsi="Times New Roman" w:cs="Times New Roman"/>
          <w:vertAlign w:val="superscript"/>
        </w:rPr>
        <w:footnoteReference w:id="124"/>
      </w:r>
    </w:p>
    <w:p w:rsidR="00FC122A" w:rsidRPr="00534155" w:rsidRDefault="00FC122A" w:rsidP="00FC122A">
      <w:pPr>
        <w:widowControl/>
        <w:tabs>
          <w:tab w:val="left" w:pos="3780"/>
          <w:tab w:val="left" w:pos="4320"/>
          <w:tab w:val="left" w:pos="5040"/>
          <w:tab w:val="left" w:pos="5760"/>
          <w:tab w:val="left" w:pos="6480"/>
          <w:tab w:val="left" w:pos="7200"/>
          <w:tab w:val="left" w:pos="7920"/>
          <w:tab w:val="left" w:pos="8640"/>
          <w:tab w:val="left" w:pos="9360"/>
        </w:tabs>
        <w:spacing w:line="480" w:lineRule="auto"/>
        <w:ind w:left="3067" w:hanging="907"/>
        <w:jc w:val="both"/>
        <w:rPr>
          <w:rFonts w:ascii="Times New Roman" w:hAnsi="Times New Roman" w:cs="Times New Roman"/>
          <w:b/>
          <w:bCs/>
        </w:rPr>
      </w:pPr>
      <w:r>
        <w:rPr>
          <w:rFonts w:ascii="Times New Roman" w:hAnsi="Times New Roman" w:cs="Times New Roman"/>
          <w:b/>
          <w:bCs/>
        </w:rPr>
        <w:t>e.</w:t>
      </w:r>
      <w:r w:rsidRPr="00534155">
        <w:rPr>
          <w:rFonts w:ascii="Times New Roman" w:hAnsi="Times New Roman" w:cs="Times New Roman"/>
          <w:b/>
          <w:bCs/>
        </w:rPr>
        <w:tab/>
        <w:t>Texas</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Texas courts have also had the opportunity to address the post-taking rezoning question, although i</w:t>
      </w:r>
      <w:r>
        <w:rPr>
          <w:rFonts w:ascii="Times New Roman" w:hAnsi="Times New Roman" w:cs="Times New Roman"/>
        </w:rPr>
        <w:t>n a slightly different context.</w:t>
      </w:r>
      <w:r w:rsidRPr="00534155">
        <w:rPr>
          <w:rFonts w:ascii="Times New Roman" w:hAnsi="Times New Roman" w:cs="Times New Roman"/>
        </w:rPr>
        <w:t xml:space="preserve"> In </w:t>
      </w:r>
      <w:r w:rsidRPr="00534155">
        <w:rPr>
          <w:rFonts w:ascii="Times New Roman" w:hAnsi="Times New Roman" w:cs="Times New Roman"/>
          <w:i/>
          <w:iCs/>
        </w:rPr>
        <w:t>City of Austin v. Cannizzo</w:t>
      </w:r>
      <w:r w:rsidRPr="00534155">
        <w:rPr>
          <w:rStyle w:val="FootnoteReference"/>
          <w:rFonts w:ascii="Times New Roman" w:hAnsi="Times New Roman" w:cs="Times New Roman"/>
          <w:vertAlign w:val="superscript"/>
        </w:rPr>
        <w:footnoteReference w:id="125"/>
      </w:r>
      <w:r w:rsidRPr="00534155">
        <w:rPr>
          <w:rFonts w:ascii="Times New Roman" w:hAnsi="Times New Roman" w:cs="Times New Roman"/>
        </w:rPr>
        <w:t>, the Supreme Court of Texas addressed the appeal of a condemnation case in which the lower court had permitted testimony on uses not permitted under the property’s zo</w:t>
      </w:r>
      <w:r>
        <w:rPr>
          <w:rFonts w:ascii="Times New Roman" w:hAnsi="Times New Roman" w:cs="Times New Roman"/>
        </w:rPr>
        <w:t>ning at the time of the taking.</w:t>
      </w:r>
      <w:r w:rsidRPr="00534155">
        <w:rPr>
          <w:rFonts w:ascii="Times New Roman" w:hAnsi="Times New Roman" w:cs="Times New Roman"/>
        </w:rPr>
        <w:t xml:space="preserve"> In </w:t>
      </w:r>
      <w:r w:rsidRPr="00534155">
        <w:rPr>
          <w:rFonts w:ascii="Times New Roman" w:hAnsi="Times New Roman" w:cs="Times New Roman"/>
          <w:i/>
          <w:iCs/>
        </w:rPr>
        <w:t>Cannizzo,</w:t>
      </w:r>
      <w:r w:rsidRPr="00534155">
        <w:rPr>
          <w:rFonts w:ascii="Times New Roman" w:hAnsi="Times New Roman" w:cs="Times New Roman"/>
        </w:rPr>
        <w:t xml:space="preserve"> the </w:t>
      </w:r>
      <w:r>
        <w:rPr>
          <w:rFonts w:ascii="Times New Roman" w:hAnsi="Times New Roman" w:cs="Times New Roman"/>
        </w:rPr>
        <w:t>c</w:t>
      </w:r>
      <w:r w:rsidRPr="00534155">
        <w:rPr>
          <w:rFonts w:ascii="Times New Roman" w:hAnsi="Times New Roman" w:cs="Times New Roman"/>
        </w:rPr>
        <w:t>ourt stated that “[a]s to the point on allowing consideration</w:t>
      </w:r>
      <w:r>
        <w:rPr>
          <w:rFonts w:ascii="Times New Roman" w:hAnsi="Times New Roman" w:cs="Times New Roman"/>
        </w:rPr>
        <w:t xml:space="preserve"> of value of the 4.57 acres </w:t>
      </w:r>
      <w:r w:rsidR="00294955">
        <w:rPr>
          <w:rFonts w:ascii="Times New Roman" w:hAnsi="Times New Roman" w:cs="Times New Roman"/>
        </w:rPr>
        <w:t>for</w:t>
      </w:r>
      <w:r w:rsidR="00294955" w:rsidRPr="00534155">
        <w:rPr>
          <w:rFonts w:ascii="Times New Roman" w:hAnsi="Times New Roman" w:cs="Times New Roman"/>
        </w:rPr>
        <w:t xml:space="preserve"> commercial</w:t>
      </w:r>
      <w:r w:rsidRPr="00534155">
        <w:rPr>
          <w:rFonts w:ascii="Times New Roman" w:hAnsi="Times New Roman" w:cs="Times New Roman"/>
        </w:rPr>
        <w:t xml:space="preserve"> purposes in the face of contrary zoning restrictions, we do not regard this as error.”</w:t>
      </w:r>
      <w:r w:rsidRPr="00534155">
        <w:rPr>
          <w:rStyle w:val="FootnoteReference"/>
          <w:rFonts w:ascii="Times New Roman" w:hAnsi="Times New Roman" w:cs="Times New Roman"/>
          <w:vertAlign w:val="superscript"/>
        </w:rPr>
        <w:footnoteReference w:id="126"/>
      </w:r>
      <w:r w:rsidRPr="00534155">
        <w:rPr>
          <w:rFonts w:ascii="Times New Roman" w:hAnsi="Times New Roman" w:cs="Times New Roman"/>
        </w:rPr>
        <w:t xml:space="preserve">  The </w:t>
      </w:r>
      <w:r>
        <w:rPr>
          <w:rFonts w:ascii="Times New Roman" w:hAnsi="Times New Roman" w:cs="Times New Roman"/>
        </w:rPr>
        <w:t>c</w:t>
      </w:r>
      <w:r w:rsidRPr="00534155">
        <w:rPr>
          <w:rFonts w:ascii="Times New Roman" w:hAnsi="Times New Roman" w:cs="Times New Roman"/>
        </w:rPr>
        <w:t>ourt instead elected to acknowledge that “In the willing seller-willing buyer test of market value it is frequently said that all factors should be considered which would reasonably be given weight in negotiations between a seller and a buyer.”</w:t>
      </w:r>
      <w:r w:rsidRPr="00534155">
        <w:rPr>
          <w:rStyle w:val="FootnoteReference"/>
          <w:rFonts w:ascii="Times New Roman" w:hAnsi="Times New Roman" w:cs="Times New Roman"/>
          <w:vertAlign w:val="superscript"/>
        </w:rPr>
        <w:footnoteReference w:id="127"/>
      </w:r>
      <w:r>
        <w:rPr>
          <w:rFonts w:ascii="Times New Roman" w:hAnsi="Times New Roman" w:cs="Times New Roman"/>
        </w:rPr>
        <w:t xml:space="preserve"> </w:t>
      </w:r>
      <w:r w:rsidRPr="00534155">
        <w:rPr>
          <w:rFonts w:ascii="Times New Roman" w:hAnsi="Times New Roman" w:cs="Times New Roman"/>
        </w:rPr>
        <w:t xml:space="preserve">According to the </w:t>
      </w:r>
      <w:r>
        <w:rPr>
          <w:rFonts w:ascii="Times New Roman" w:hAnsi="Times New Roman" w:cs="Times New Roman"/>
        </w:rPr>
        <w:t>c</w:t>
      </w:r>
      <w:r w:rsidRPr="00534155">
        <w:rPr>
          <w:rFonts w:ascii="Times New Roman" w:hAnsi="Times New Roman" w:cs="Times New Roman"/>
        </w:rPr>
        <w:t>ourt, “this would exclude consideration of purely speculative uses to which the property might be adaptable but wholly unavailable but would permit consideration of all uses to which the property was reasonably adaptable and for which it was, or in reasonable probability would become, available within a reasonable time.”</w:t>
      </w:r>
      <w:r w:rsidRPr="00534155">
        <w:rPr>
          <w:rStyle w:val="FootnoteReference"/>
          <w:rFonts w:ascii="Times New Roman" w:hAnsi="Times New Roman" w:cs="Times New Roman"/>
          <w:vertAlign w:val="superscript"/>
        </w:rPr>
        <w:footnoteReference w:id="128"/>
      </w:r>
      <w:r>
        <w:rPr>
          <w:rFonts w:ascii="Times New Roman" w:hAnsi="Times New Roman" w:cs="Times New Roman"/>
        </w:rPr>
        <w:t xml:space="preserve"> </w:t>
      </w:r>
      <w:r w:rsidRPr="00534155">
        <w:rPr>
          <w:rFonts w:ascii="Times New Roman" w:hAnsi="Times New Roman" w:cs="Times New Roman"/>
        </w:rPr>
        <w:t xml:space="preserve">Based on its analysis above, the </w:t>
      </w:r>
      <w:r w:rsidR="00294955">
        <w:rPr>
          <w:rFonts w:ascii="Times New Roman" w:hAnsi="Times New Roman" w:cs="Times New Roman"/>
        </w:rPr>
        <w:t>court</w:t>
      </w:r>
      <w:r>
        <w:rPr>
          <w:rFonts w:ascii="Times New Roman" w:hAnsi="Times New Roman" w:cs="Times New Roman"/>
        </w:rPr>
        <w:t xml:space="preserve"> </w:t>
      </w:r>
      <w:r w:rsidRPr="00534155">
        <w:rPr>
          <w:rFonts w:ascii="Times New Roman" w:hAnsi="Times New Roman" w:cs="Times New Roman"/>
        </w:rPr>
        <w:t>stated</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We are unwilling to lay down a hard and fast rule that in arriving at market value consideration may never be given to a use for which property is reasonably suitable and adaptable but which use is presently prohibited by a zoning ordinance. It is a matter of common knowledge that cities frequently lift zoning ordinances or reclassify property in particular zones when the business or wants of the community justifies that type of action in the interest of the general public welfare.</w:t>
      </w:r>
      <w:r w:rsidRPr="00534155">
        <w:rPr>
          <w:rStyle w:val="FootnoteReference"/>
          <w:rFonts w:ascii="Times New Roman" w:hAnsi="Times New Roman" w:cs="Times New Roman"/>
          <w:vertAlign w:val="superscript"/>
        </w:rPr>
        <w:footnoteReference w:id="129"/>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While acknowledging its willingness to consider evidence of alternative uses, the </w:t>
      </w:r>
      <w:r>
        <w:rPr>
          <w:rFonts w:ascii="Times New Roman" w:hAnsi="Times New Roman" w:cs="Times New Roman"/>
        </w:rPr>
        <w:t>c</w:t>
      </w:r>
      <w:r w:rsidRPr="00534155">
        <w:rPr>
          <w:rFonts w:ascii="Times New Roman" w:hAnsi="Times New Roman" w:cs="Times New Roman"/>
        </w:rPr>
        <w:t>ourt noted, however, that “if the trial judge is satisfied from the evidence as a whole that there is no reasonable probability that existing restrictions may be lifted within a reasonable time, he should exclude evidence of value based on use for any purposes other than those to which it is restricted.”</w:t>
      </w:r>
      <w:r w:rsidRPr="00534155">
        <w:rPr>
          <w:rStyle w:val="FootnoteReference"/>
          <w:rFonts w:ascii="Times New Roman" w:hAnsi="Times New Roman" w:cs="Times New Roman"/>
          <w:vertAlign w:val="superscript"/>
        </w:rPr>
        <w:footnoteReference w:id="130"/>
      </w:r>
      <w:r w:rsidR="00294955" w:rsidRPr="00534155">
        <w:rPr>
          <w:rFonts w:ascii="Times New Roman" w:hAnsi="Times New Roman" w:cs="Times New Roman"/>
        </w:rPr>
        <w:t xml:space="preserve"> </w:t>
      </w:r>
      <w:r w:rsidRPr="00534155">
        <w:rPr>
          <w:rFonts w:ascii="Times New Roman" w:hAnsi="Times New Roman" w:cs="Times New Roman"/>
        </w:rPr>
        <w:t xml:space="preserve">In the end, the </w:t>
      </w:r>
      <w:r>
        <w:rPr>
          <w:rFonts w:ascii="Times New Roman" w:hAnsi="Times New Roman" w:cs="Times New Roman"/>
        </w:rPr>
        <w:t>c</w:t>
      </w:r>
      <w:r w:rsidRPr="00534155">
        <w:rPr>
          <w:rFonts w:ascii="Times New Roman" w:hAnsi="Times New Roman" w:cs="Times New Roman"/>
        </w:rPr>
        <w:t>ourt adopted the rule that:</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 xml:space="preserve">[I]f it appears reasonably probable to the trial judge that the wants and needs of the particular community may result, within a reasonable time, in the lifting of restrictions, he should admit testimony of present value based on prospective use of the property for purposes not then available. Whenever such testimony is admitted it would not do violence to the definition of "market value" suggested in the Carpenter case by adding thereto so as to have it read: You are instructed that the term "market value" is the price which the property would bring when it is offered for sale by one who desires, but is not obliged to sell, and is bought by one who is under no necessity of buying it, </w:t>
      </w:r>
      <w:r w:rsidRPr="00534155">
        <w:rPr>
          <w:rFonts w:ascii="Times New Roman" w:hAnsi="Times New Roman" w:cs="Times New Roman"/>
          <w:i/>
          <w:iCs/>
        </w:rPr>
        <w:t>taking into consideration all of the uses to which it is reasonably adaptable and for which it either is or in all reasonable probability will become available within the reasonable future</w:t>
      </w:r>
      <w:r w:rsidRPr="00534155">
        <w:rPr>
          <w:rFonts w:ascii="Times New Roman" w:hAnsi="Times New Roman" w:cs="Times New Roman"/>
        </w:rPr>
        <w:t>. This definition will permit the jury to give such weight to the probability of the lifting of restrictions as it thinks a prospective purchaser would give.</w:t>
      </w:r>
      <w:r w:rsidRPr="00534155">
        <w:rPr>
          <w:rStyle w:val="FootnoteReference"/>
          <w:rFonts w:ascii="Times New Roman" w:hAnsi="Times New Roman" w:cs="Times New Roman"/>
          <w:vertAlign w:val="superscript"/>
        </w:rPr>
        <w:footnoteReference w:id="131"/>
      </w: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FC122A" w:rsidRPr="00534155" w:rsidRDefault="00294955"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cs="Times New Roman"/>
        </w:rPr>
      </w:pPr>
      <w:r w:rsidRPr="00534155">
        <w:rPr>
          <w:rFonts w:ascii="Times New Roman" w:hAnsi="Times New Roman" w:cs="Times New Roman"/>
        </w:rPr>
        <w:t xml:space="preserve">The decision of the </w:t>
      </w:r>
      <w:r>
        <w:rPr>
          <w:rFonts w:ascii="Times New Roman" w:hAnsi="Times New Roman" w:cs="Times New Roman"/>
        </w:rPr>
        <w:t xml:space="preserve">Texas </w:t>
      </w:r>
      <w:r w:rsidRPr="00534155">
        <w:rPr>
          <w:rFonts w:ascii="Times New Roman" w:hAnsi="Times New Roman" w:cs="Times New Roman"/>
        </w:rPr>
        <w:t xml:space="preserve">Court of Civil Appeals in </w:t>
      </w:r>
      <w:r w:rsidRPr="00534155">
        <w:rPr>
          <w:rFonts w:ascii="Times New Roman" w:hAnsi="Times New Roman" w:cs="Times New Roman"/>
          <w:i/>
          <w:iCs/>
        </w:rPr>
        <w:t>Texas Electric Service Co. v. Graves</w:t>
      </w:r>
      <w:r w:rsidRPr="00534155">
        <w:rPr>
          <w:rStyle w:val="FootnoteReference"/>
          <w:rFonts w:ascii="Times New Roman" w:hAnsi="Times New Roman" w:cs="Times New Roman"/>
          <w:vertAlign w:val="superscript"/>
        </w:rPr>
        <w:footnoteReference w:id="132"/>
      </w:r>
      <w:r w:rsidRPr="00534155">
        <w:rPr>
          <w:rFonts w:ascii="Times New Roman" w:hAnsi="Times New Roman" w:cs="Times New Roman"/>
        </w:rPr>
        <w:t xml:space="preserve"> shed some further light on the rule that the Texas Supreme Court had established in </w:t>
      </w:r>
      <w:r w:rsidRPr="00534155">
        <w:rPr>
          <w:rFonts w:ascii="Times New Roman" w:hAnsi="Times New Roman" w:cs="Times New Roman"/>
          <w:i/>
          <w:iCs/>
        </w:rPr>
        <w:t>Cannizzo</w:t>
      </w:r>
      <w:r>
        <w:rPr>
          <w:rFonts w:ascii="Times New Roman" w:hAnsi="Times New Roman" w:cs="Times New Roman"/>
        </w:rPr>
        <w:t xml:space="preserve">. </w:t>
      </w:r>
      <w:r w:rsidR="00FC122A" w:rsidRPr="00534155">
        <w:rPr>
          <w:rFonts w:ascii="Times New Roman" w:hAnsi="Times New Roman" w:cs="Times New Roman"/>
        </w:rPr>
        <w:t xml:space="preserve">In </w:t>
      </w:r>
      <w:r w:rsidR="00FC122A" w:rsidRPr="00534155">
        <w:rPr>
          <w:rFonts w:ascii="Times New Roman" w:hAnsi="Times New Roman" w:cs="Times New Roman"/>
          <w:i/>
          <w:iCs/>
        </w:rPr>
        <w:t>Graves</w:t>
      </w:r>
      <w:r w:rsidR="00FC122A">
        <w:rPr>
          <w:rFonts w:ascii="Times New Roman" w:hAnsi="Times New Roman" w:cs="Times New Roman"/>
        </w:rPr>
        <w:t>, the c</w:t>
      </w:r>
      <w:r w:rsidR="00FC122A" w:rsidRPr="00534155">
        <w:rPr>
          <w:rFonts w:ascii="Times New Roman" w:hAnsi="Times New Roman" w:cs="Times New Roman"/>
        </w:rPr>
        <w:t>ourt considered a takings case where the landowners had offered into evidence a statute that had not become effective until four months after the date of taking.</w:t>
      </w:r>
      <w:r w:rsidR="00FC122A" w:rsidRPr="00534155">
        <w:rPr>
          <w:rStyle w:val="FootnoteReference"/>
          <w:rFonts w:ascii="Times New Roman" w:hAnsi="Times New Roman" w:cs="Times New Roman"/>
          <w:vertAlign w:val="superscript"/>
        </w:rPr>
        <w:footnoteReference w:id="133"/>
      </w:r>
      <w:r w:rsidR="00FC122A">
        <w:rPr>
          <w:rFonts w:ascii="Times New Roman" w:hAnsi="Times New Roman" w:cs="Times New Roman"/>
        </w:rPr>
        <w:t xml:space="preserve"> </w:t>
      </w:r>
      <w:r w:rsidR="00FC122A" w:rsidRPr="00534155">
        <w:rPr>
          <w:rFonts w:ascii="Times New Roman" w:hAnsi="Times New Roman" w:cs="Times New Roman"/>
        </w:rPr>
        <w:t xml:space="preserve">The </w:t>
      </w:r>
      <w:r w:rsidR="00FC122A">
        <w:rPr>
          <w:rFonts w:ascii="Times New Roman" w:hAnsi="Times New Roman" w:cs="Times New Roman"/>
        </w:rPr>
        <w:t>A</w:t>
      </w:r>
      <w:r w:rsidR="00FC122A" w:rsidRPr="00534155">
        <w:rPr>
          <w:rFonts w:ascii="Times New Roman" w:hAnsi="Times New Roman" w:cs="Times New Roman"/>
        </w:rPr>
        <w:t xml:space="preserve">ppellant-condemnor had presented </w:t>
      </w:r>
      <w:r w:rsidR="00FC122A">
        <w:rPr>
          <w:rFonts w:ascii="Times New Roman" w:hAnsi="Times New Roman" w:cs="Times New Roman"/>
        </w:rPr>
        <w:t>motion in limine</w:t>
      </w:r>
      <w:r w:rsidR="00FC122A" w:rsidRPr="00534155">
        <w:rPr>
          <w:rFonts w:ascii="Times New Roman" w:hAnsi="Times New Roman" w:cs="Times New Roman"/>
        </w:rPr>
        <w:t xml:space="preserve"> to exclude the evidence, and had also objected to the admission of the evidence at trial, based on the fact that the statute was not in effect at the</w:t>
      </w:r>
      <w:r w:rsidR="00FC122A">
        <w:rPr>
          <w:rFonts w:ascii="Times New Roman" w:hAnsi="Times New Roman" w:cs="Times New Roman"/>
        </w:rPr>
        <w:t xml:space="preserve"> time of the taking. Both the motion in l</w:t>
      </w:r>
      <w:r w:rsidR="00FC122A" w:rsidRPr="00534155">
        <w:rPr>
          <w:rFonts w:ascii="Times New Roman" w:hAnsi="Times New Roman" w:cs="Times New Roman"/>
        </w:rPr>
        <w:t xml:space="preserve">imine and the objections on relevancy grounds were </w:t>
      </w:r>
      <w:r w:rsidR="00FC122A" w:rsidRPr="00534155">
        <w:rPr>
          <w:rFonts w:ascii="Times New Roman" w:hAnsi="Times New Roman" w:cs="Times New Roman"/>
        </w:rPr>
        <w:lastRenderedPageBreak/>
        <w:t>overruled, and the evidence of the passage of the statute was admitted into evidence.</w:t>
      </w:r>
      <w:r w:rsidR="00FC122A" w:rsidRPr="00534155">
        <w:rPr>
          <w:rStyle w:val="FootnoteReference"/>
          <w:rFonts w:ascii="Times New Roman" w:hAnsi="Times New Roman" w:cs="Times New Roman"/>
          <w:vertAlign w:val="superscript"/>
        </w:rPr>
        <w:footnoteReference w:id="134"/>
      </w:r>
      <w:r w:rsidR="00FC122A">
        <w:rPr>
          <w:rFonts w:ascii="Times New Roman" w:hAnsi="Times New Roman" w:cs="Times New Roman"/>
        </w:rPr>
        <w:t xml:space="preserve"> First, the c</w:t>
      </w:r>
      <w:r w:rsidR="00FC122A" w:rsidRPr="00534155">
        <w:rPr>
          <w:rFonts w:ascii="Times New Roman" w:hAnsi="Times New Roman" w:cs="Times New Roman"/>
        </w:rPr>
        <w:t>ourt noted that due to the possibility that a hypothetical willing buyer would take into account the potential for the regulatory change, similar potential changes should be admissible as one determinant of market value</w:t>
      </w:r>
      <w:r w:rsidRPr="00534155">
        <w:rPr>
          <w:rFonts w:ascii="Times New Roman" w:hAnsi="Times New Roman" w:cs="Times New Roman"/>
        </w:rPr>
        <w:t xml:space="preserve">. </w:t>
      </w:r>
      <w:r w:rsidR="00FC122A" w:rsidRPr="00534155">
        <w:rPr>
          <w:rFonts w:ascii="Times New Roman" w:hAnsi="Times New Roman" w:cs="Times New Roman"/>
        </w:rPr>
        <w:t xml:space="preserve">The </w:t>
      </w:r>
      <w:r w:rsidR="00FC122A">
        <w:rPr>
          <w:rFonts w:ascii="Times New Roman" w:hAnsi="Times New Roman" w:cs="Times New Roman"/>
        </w:rPr>
        <w:t>c</w:t>
      </w:r>
      <w:r w:rsidR="00FC122A" w:rsidRPr="00534155">
        <w:rPr>
          <w:rFonts w:ascii="Times New Roman" w:hAnsi="Times New Roman" w:cs="Times New Roman"/>
        </w:rPr>
        <w:t>ourt continued on to state that this “is comparable to the rule adopted in the contemplated rezoning cases.”</w:t>
      </w:r>
      <w:r w:rsidR="00FC122A" w:rsidRPr="00534155">
        <w:rPr>
          <w:rStyle w:val="FootnoteReference"/>
          <w:rFonts w:ascii="Times New Roman" w:hAnsi="Times New Roman" w:cs="Times New Roman"/>
          <w:vertAlign w:val="superscript"/>
        </w:rPr>
        <w:footnoteReference w:id="135"/>
      </w:r>
      <w:r w:rsidR="00FC122A" w:rsidRPr="00534155">
        <w:rPr>
          <w:rFonts w:ascii="Times New Roman" w:hAnsi="Times New Roman" w:cs="Times New Roman"/>
        </w:rPr>
        <w:t xml:space="preserve"> Based on this principle the court observed that:</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No testimony is presented that at the time of the taking there was a reasonable probability that the statute would soon be effective, but as a matter of fact it was effective some four months later and long before the trial of this case. </w:t>
      </w:r>
      <w:r w:rsidRPr="00534155">
        <w:rPr>
          <w:rFonts w:ascii="Times New Roman" w:hAnsi="Times New Roman" w:cs="Times New Roman"/>
          <w:i/>
          <w:iCs/>
        </w:rPr>
        <w:t>In the zoning cases it has been held that if subsequent to the taking and before the trial the ordinance was actually amended to permit the previously forbidden use then that of itself was weighty evidence of the existence at the time of the taking of the fact that there was a reasonable probability of an imminent change</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36"/>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sidRPr="00534155">
        <w:rPr>
          <w:rFonts w:ascii="Times New Roman" w:hAnsi="Times New Roman" w:cs="Times New Roman"/>
        </w:rPr>
        <w:t xml:space="preserve">Thus, regarding the post-taking statutory change, the </w:t>
      </w:r>
      <w:r>
        <w:rPr>
          <w:rFonts w:ascii="Times New Roman" w:hAnsi="Times New Roman" w:cs="Times New Roman"/>
        </w:rPr>
        <w:t>c</w:t>
      </w:r>
      <w:r w:rsidRPr="00534155">
        <w:rPr>
          <w:rFonts w:ascii="Times New Roman" w:hAnsi="Times New Roman" w:cs="Times New Roman"/>
        </w:rPr>
        <w:t xml:space="preserve">ourt held that “we feel the broad general discretion of the trial </w:t>
      </w:r>
      <w:r>
        <w:rPr>
          <w:rFonts w:ascii="Times New Roman" w:hAnsi="Times New Roman" w:cs="Times New Roman"/>
        </w:rPr>
        <w:t>c</w:t>
      </w:r>
      <w:r w:rsidRPr="00534155">
        <w:rPr>
          <w:rFonts w:ascii="Times New Roman" w:hAnsi="Times New Roman" w:cs="Times New Roman"/>
        </w:rPr>
        <w:t xml:space="preserve">ourt should control as to the receipt of this evidence. </w:t>
      </w:r>
      <w:r w:rsidRPr="00534155">
        <w:rPr>
          <w:rFonts w:ascii="Times New Roman" w:hAnsi="Times New Roman" w:cs="Times New Roman"/>
          <w:i/>
          <w:iCs/>
        </w:rPr>
        <w:t>If the zoning ordinances are admissible, then likewise the restrictive statute</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37"/>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Read together, </w:t>
      </w:r>
      <w:r w:rsidRPr="00534155">
        <w:rPr>
          <w:rFonts w:ascii="Times New Roman" w:hAnsi="Times New Roman" w:cs="Times New Roman"/>
          <w:i/>
          <w:iCs/>
        </w:rPr>
        <w:t>Graves</w:t>
      </w:r>
      <w:r w:rsidRPr="00534155">
        <w:rPr>
          <w:rFonts w:ascii="Times New Roman" w:hAnsi="Times New Roman" w:cs="Times New Roman"/>
        </w:rPr>
        <w:t xml:space="preserve"> and </w:t>
      </w:r>
      <w:r w:rsidR="00294955" w:rsidRPr="00534155">
        <w:rPr>
          <w:rFonts w:ascii="Times New Roman" w:hAnsi="Times New Roman" w:cs="Times New Roman"/>
          <w:i/>
          <w:iCs/>
        </w:rPr>
        <w:t>Ca</w:t>
      </w:r>
      <w:r w:rsidR="00294955">
        <w:rPr>
          <w:rFonts w:ascii="Times New Roman" w:hAnsi="Times New Roman" w:cs="Times New Roman"/>
          <w:i/>
          <w:iCs/>
        </w:rPr>
        <w:t>n</w:t>
      </w:r>
      <w:r w:rsidR="00294955" w:rsidRPr="00534155">
        <w:rPr>
          <w:rFonts w:ascii="Times New Roman" w:hAnsi="Times New Roman" w:cs="Times New Roman"/>
          <w:i/>
          <w:iCs/>
        </w:rPr>
        <w:t>nizzo</w:t>
      </w:r>
      <w:r w:rsidRPr="00534155">
        <w:rPr>
          <w:rFonts w:ascii="Times New Roman" w:hAnsi="Times New Roman" w:cs="Times New Roman"/>
        </w:rPr>
        <w:t xml:space="preserve"> indicate that Texas courts consider post-taking rezoning and regulation to be relevant to the question of whether or not such changes were a reasonable possibi</w:t>
      </w:r>
      <w:r>
        <w:rPr>
          <w:rFonts w:ascii="Times New Roman" w:hAnsi="Times New Roman" w:cs="Times New Roman"/>
        </w:rPr>
        <w:t>lity at the time of the taking.</w:t>
      </w:r>
    </w:p>
    <w:p w:rsidR="001C6202" w:rsidRPr="00534155" w:rsidRDefault="00620FB3" w:rsidP="00620F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1C6202" w:rsidRPr="00534155">
        <w:rPr>
          <w:rFonts w:ascii="Times New Roman" w:hAnsi="Times New Roman" w:cs="Times New Roman"/>
          <w:b/>
          <w:bCs/>
        </w:rPr>
        <w:t>f.</w:t>
      </w:r>
      <w:r w:rsidR="001C6202" w:rsidRPr="00534155">
        <w:rPr>
          <w:rFonts w:ascii="Times New Roman" w:hAnsi="Times New Roman" w:cs="Times New Roman"/>
          <w:b/>
          <w:bCs/>
        </w:rPr>
        <w:tab/>
        <w:t>Iowa</w:t>
      </w:r>
    </w:p>
    <w:p w:rsidR="001C6202" w:rsidRPr="00534155" w:rsidRDefault="001C6202" w:rsidP="00620FB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Reeder v. Iowa State Hwy. Comm.</w:t>
      </w:r>
      <w:r w:rsidRPr="00534155">
        <w:rPr>
          <w:rStyle w:val="FootnoteReference"/>
          <w:rFonts w:ascii="Times New Roman" w:hAnsi="Times New Roman" w:cs="Times New Roman"/>
          <w:vertAlign w:val="superscript"/>
        </w:rPr>
        <w:footnoteReference w:id="138"/>
      </w:r>
      <w:r w:rsidR="00620FB3">
        <w:rPr>
          <w:rFonts w:ascii="Times New Roman" w:hAnsi="Times New Roman" w:cs="Times New Roman"/>
          <w:i/>
          <w:iCs/>
        </w:rPr>
        <w:t>,</w:t>
      </w:r>
      <w:r w:rsidRPr="00534155">
        <w:rPr>
          <w:rFonts w:ascii="Times New Roman" w:hAnsi="Times New Roman" w:cs="Times New Roman"/>
        </w:rPr>
        <w:t xml:space="preserve"> the Supreme Court of Iowa considered a case where the plaintiff-landowner had submitted evidence of a rezoning of the area in question</w:t>
      </w:r>
      <w:r w:rsidR="00620FB3">
        <w:rPr>
          <w:rFonts w:ascii="Times New Roman" w:hAnsi="Times New Roman" w:cs="Times New Roman"/>
        </w:rPr>
        <w:t xml:space="preserve"> eight months after the taking.</w:t>
      </w:r>
      <w:r w:rsidRPr="00534155">
        <w:rPr>
          <w:rFonts w:ascii="Times New Roman" w:hAnsi="Times New Roman" w:cs="Times New Roman"/>
        </w:rPr>
        <w:t xml:space="preserve"> The evidence was submitted as evidence of the highest and best use of the </w:t>
      </w:r>
      <w:r w:rsidRPr="00534155">
        <w:rPr>
          <w:rFonts w:ascii="Times New Roman" w:hAnsi="Times New Roman" w:cs="Times New Roman"/>
        </w:rPr>
        <w:lastRenderedPageBreak/>
        <w:t>land, and he challenged the admissibility of the defendant’s testimony regarding the plaintiff’s objective i</w:t>
      </w:r>
      <w:r w:rsidR="00620FB3">
        <w:rPr>
          <w:rFonts w:ascii="Times New Roman" w:hAnsi="Times New Roman" w:cs="Times New Roman"/>
        </w:rPr>
        <w:t xml:space="preserve">n seeking the change in zoning. </w:t>
      </w:r>
      <w:r w:rsidRPr="00534155">
        <w:rPr>
          <w:rFonts w:ascii="Times New Roman" w:hAnsi="Times New Roman" w:cs="Times New Roman"/>
        </w:rPr>
        <w:t xml:space="preserve">In addressing the issue, the </w:t>
      </w:r>
      <w:r w:rsidR="00620FB3">
        <w:rPr>
          <w:rFonts w:ascii="Times New Roman" w:hAnsi="Times New Roman" w:cs="Times New Roman"/>
        </w:rPr>
        <w:t>court first noted,</w:t>
      </w:r>
    </w:p>
    <w:p w:rsidR="001C6202" w:rsidRPr="00534155" w:rsidRDefault="001C6202" w:rsidP="00BA6A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[C]onsiderable latitude is allowed in the admission of evidence of the capabilities of land affected by a condemnation and the uses to which it may reasonably be adapted. It is true there must be a present demand for the land for such uses or reasonable expectation of such demand in the near future. </w:t>
      </w:r>
      <w:r w:rsidRPr="00534155">
        <w:rPr>
          <w:rFonts w:ascii="Times New Roman" w:hAnsi="Times New Roman" w:cs="Times New Roman"/>
          <w:i/>
          <w:iCs/>
        </w:rPr>
        <w:t>It must be remembered too that such evidence is to be considered only for the effect it has on market value at the time of the taking, not at some future time</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39"/>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The </w:t>
      </w:r>
      <w:r w:rsidR="00620FB3">
        <w:rPr>
          <w:rFonts w:ascii="Times New Roman" w:hAnsi="Times New Roman" w:cs="Times New Roman"/>
        </w:rPr>
        <w:t>c</w:t>
      </w:r>
      <w:r w:rsidRPr="00534155">
        <w:rPr>
          <w:rFonts w:ascii="Times New Roman" w:hAnsi="Times New Roman" w:cs="Times New Roman"/>
        </w:rPr>
        <w:t>ourt then acknowledged that the trial court had permitted introduction of the zoning ordinance that had been enacted more than eight month</w:t>
      </w:r>
      <w:r w:rsidR="00620FB3">
        <w:rPr>
          <w:rFonts w:ascii="Times New Roman" w:hAnsi="Times New Roman" w:cs="Times New Roman"/>
        </w:rPr>
        <w:t>s after the taking in question. The c</w:t>
      </w:r>
      <w:r w:rsidRPr="00534155">
        <w:rPr>
          <w:rFonts w:ascii="Times New Roman" w:hAnsi="Times New Roman" w:cs="Times New Roman"/>
        </w:rPr>
        <w:t xml:space="preserve">ourt then stated that the Plaintiff’s introduction of this evidence was to show that the enactment of the zoning ordinance, per se, proved that the highest and best use </w:t>
      </w:r>
      <w:r w:rsidRPr="00534155">
        <w:rPr>
          <w:rFonts w:ascii="Times New Roman" w:hAnsi="Times New Roman" w:cs="Times New Roman"/>
          <w:i/>
          <w:iCs/>
        </w:rPr>
        <w:t>at the time of the taking</w:t>
      </w:r>
      <w:r w:rsidR="00620FB3">
        <w:rPr>
          <w:rFonts w:ascii="Times New Roman" w:hAnsi="Times New Roman" w:cs="Times New Roman"/>
        </w:rPr>
        <w:t xml:space="preserve"> was for commercial use. In response, the court stated, </w:t>
      </w:r>
    </w:p>
    <w:p w:rsidR="001C6202" w:rsidRPr="00534155" w:rsidRDefault="001C6202" w:rsidP="00BA6A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Bearing in mind the ordinance was adopted more than eight months after condemnation, the claim made by plaintiff is manifestly lacking in substance. . . [E]nactment of a zoning ordinance subsequent to condemnation does not alone establish either adaptability or nonadaptability of a tract of land for any particular purpose </w:t>
      </w:r>
      <w:r w:rsidRPr="00534155">
        <w:rPr>
          <w:rFonts w:ascii="Times New Roman" w:hAnsi="Times New Roman" w:cs="Times New Roman"/>
          <w:i/>
          <w:iCs/>
        </w:rPr>
        <w:t>at time of taking</w:t>
      </w:r>
      <w:r w:rsidRPr="00534155">
        <w:rPr>
          <w:rFonts w:ascii="Times New Roman" w:hAnsi="Times New Roman" w:cs="Times New Roman"/>
        </w:rPr>
        <w:t>. And any inferences in that direction, arising from adoption of a rezoning ordinance, may always be rebutted.</w:t>
      </w:r>
      <w:r w:rsidRPr="00534155">
        <w:rPr>
          <w:rStyle w:val="FootnoteReference"/>
          <w:rFonts w:ascii="Times New Roman" w:hAnsi="Times New Roman" w:cs="Times New Roman"/>
          <w:vertAlign w:val="superscript"/>
        </w:rPr>
        <w:footnoteReference w:id="140"/>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Based on this principle, the </w:t>
      </w:r>
      <w:r w:rsidR="00620FB3">
        <w:rPr>
          <w:rFonts w:ascii="Times New Roman" w:hAnsi="Times New Roman" w:cs="Times New Roman"/>
        </w:rPr>
        <w:t>c</w:t>
      </w:r>
      <w:r w:rsidRPr="00534155">
        <w:rPr>
          <w:rFonts w:ascii="Times New Roman" w:hAnsi="Times New Roman" w:cs="Times New Roman"/>
        </w:rPr>
        <w:t xml:space="preserve">ourt acknowledged that evidence of post-taking zoning is admissible at trial, but it does not </w:t>
      </w:r>
      <w:r w:rsidRPr="00534155">
        <w:rPr>
          <w:rFonts w:ascii="Times New Roman" w:hAnsi="Times New Roman" w:cs="Times New Roman"/>
          <w:i/>
          <w:iCs/>
        </w:rPr>
        <w:t>per se</w:t>
      </w:r>
      <w:r w:rsidRPr="00534155">
        <w:rPr>
          <w:rFonts w:ascii="Times New Roman" w:hAnsi="Times New Roman" w:cs="Times New Roman"/>
        </w:rPr>
        <w:t xml:space="preserve"> establish the highest and best use of the land, and it also is subject to rebuttal e</w:t>
      </w:r>
      <w:r w:rsidR="00BA6A71">
        <w:rPr>
          <w:rFonts w:ascii="Times New Roman" w:hAnsi="Times New Roman" w:cs="Times New Roman"/>
        </w:rPr>
        <w:t xml:space="preserve">vidence by the opposing party. </w:t>
      </w:r>
      <w:r w:rsidRPr="00534155">
        <w:rPr>
          <w:rFonts w:ascii="Times New Roman" w:hAnsi="Times New Roman" w:cs="Times New Roman"/>
        </w:rPr>
        <w:t xml:space="preserve">In conclusion, the </w:t>
      </w:r>
      <w:r w:rsidRPr="00534155">
        <w:rPr>
          <w:rFonts w:ascii="Times New Roman" w:hAnsi="Times New Roman" w:cs="Times New Roman"/>
          <w:i/>
          <w:iCs/>
        </w:rPr>
        <w:t>Reader</w:t>
      </w:r>
      <w:r w:rsidRPr="00534155">
        <w:rPr>
          <w:rFonts w:ascii="Times New Roman" w:hAnsi="Times New Roman" w:cs="Times New Roman"/>
        </w:rPr>
        <w:t xml:space="preserve"> </w:t>
      </w:r>
      <w:r w:rsidR="00620FB3">
        <w:rPr>
          <w:rFonts w:ascii="Times New Roman" w:hAnsi="Times New Roman" w:cs="Times New Roman"/>
        </w:rPr>
        <w:t>c</w:t>
      </w:r>
      <w:r w:rsidRPr="00534155">
        <w:rPr>
          <w:rFonts w:ascii="Times New Roman" w:hAnsi="Times New Roman" w:cs="Times New Roman"/>
        </w:rPr>
        <w:t>ourt stated that:</w:t>
      </w:r>
    </w:p>
    <w:p w:rsidR="001C6202" w:rsidRPr="00534155" w:rsidRDefault="001C6202" w:rsidP="00BA6A7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The classification of plaintiff's land at time of taking is not subject to question. It was then zoned residential. And as we held in Mohr v. </w:t>
      </w:r>
      <w:r w:rsidRPr="00534155">
        <w:rPr>
          <w:rStyle w:val="term1"/>
          <w:rFonts w:ascii="Times New Roman" w:eastAsia="MS PMincho" w:hAnsi="Times New Roman" w:cs="Times New Roman"/>
          <w:b w:val="0"/>
          <w:bCs w:val="0"/>
          <w:sz w:val="24"/>
          <w:szCs w:val="24"/>
        </w:rPr>
        <w:t>Iowa State Highway Commission,</w:t>
      </w:r>
      <w:r w:rsidRPr="00534155">
        <w:rPr>
          <w:rFonts w:ascii="Times New Roman" w:hAnsi="Times New Roman" w:cs="Times New Roman"/>
        </w:rPr>
        <w:t xml:space="preserve"> [citation omitted] evidence as to uses to which land may reasonably be adapted is to be considered only for the effect it has on market value at time of taking, not at some later date.</w:t>
      </w:r>
      <w:r w:rsidRPr="00534155">
        <w:rPr>
          <w:rStyle w:val="FootnoteReference"/>
          <w:rFonts w:ascii="Times New Roman" w:hAnsi="Times New Roman" w:cs="Times New Roman"/>
          <w:vertAlign w:val="superscript"/>
        </w:rPr>
        <w:footnoteReference w:id="141"/>
      </w:r>
    </w:p>
    <w:p w:rsidR="001C6202" w:rsidRPr="00534155" w:rsidRDefault="001C6202"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EE0FF3" w:rsidRDefault="00EE0FF3">
      <w:pPr>
        <w:widowControl/>
        <w:autoSpaceDE/>
        <w:autoSpaceDN/>
        <w:adjustRightInd/>
        <w:spacing w:after="200" w:line="276" w:lineRule="auto"/>
        <w:rPr>
          <w:rFonts w:ascii="Times New Roman" w:hAnsi="Times New Roman" w:cs="Times New Roman"/>
          <w:b/>
          <w:bCs/>
        </w:rPr>
      </w:pPr>
      <w:r>
        <w:rPr>
          <w:rFonts w:ascii="Times New Roman" w:hAnsi="Times New Roman" w:cs="Times New Roman"/>
          <w:b/>
          <w:bCs/>
        </w:rPr>
        <w:br w:type="page"/>
      </w:r>
    </w:p>
    <w:p w:rsidR="001C6202" w:rsidRPr="00534155" w:rsidRDefault="001C6202" w:rsidP="00620FB3">
      <w:pPr>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hanging="720"/>
        <w:jc w:val="both"/>
        <w:rPr>
          <w:rFonts w:ascii="Times New Roman" w:hAnsi="Times New Roman" w:cs="Times New Roman"/>
          <w:b/>
          <w:bCs/>
        </w:rPr>
      </w:pPr>
      <w:r w:rsidRPr="00534155">
        <w:rPr>
          <w:rFonts w:ascii="Times New Roman" w:hAnsi="Times New Roman" w:cs="Times New Roman"/>
          <w:b/>
          <w:bCs/>
        </w:rPr>
        <w:lastRenderedPageBreak/>
        <w:fldChar w:fldCharType="begin"/>
      </w:r>
      <w:r w:rsidRPr="00534155">
        <w:rPr>
          <w:rFonts w:ascii="Times New Roman" w:hAnsi="Times New Roman" w:cs="Times New Roman"/>
          <w:b/>
          <w:bCs/>
        </w:rPr>
        <w:instrText>LISTNUM 3 \l 1</w:instrText>
      </w:r>
      <w:r w:rsidRPr="00534155">
        <w:rPr>
          <w:rFonts w:ascii="Times New Roman" w:hAnsi="Times New Roman" w:cs="Times New Roman"/>
          <w:b/>
          <w:bCs/>
        </w:rPr>
        <w:fldChar w:fldCharType="end"/>
      </w:r>
      <w:r w:rsidRPr="00534155">
        <w:rPr>
          <w:rFonts w:ascii="Times New Roman" w:hAnsi="Times New Roman" w:cs="Times New Roman"/>
          <w:b/>
          <w:bCs/>
        </w:rPr>
        <w:tab/>
        <w:t>Jurisdictions Not Permitting Evidence of Post-Taking Rezoning</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While some jurisdictions have permitted evidence of rezoning subsequent to the date of taking, others have refused to admit </w:t>
      </w:r>
      <w:r w:rsidR="00BA6A71">
        <w:rPr>
          <w:rFonts w:ascii="Times New Roman" w:hAnsi="Times New Roman" w:cs="Times New Roman"/>
        </w:rPr>
        <w:t>such information into evidence.</w:t>
      </w:r>
      <w:r w:rsidRPr="00534155">
        <w:rPr>
          <w:rFonts w:ascii="Times New Roman" w:hAnsi="Times New Roman" w:cs="Times New Roman"/>
        </w:rPr>
        <w:t xml:space="preserve"> While the justifications may vary, generally they depend on either a lack of relevance due to their inability to affect the market value as of the date of the taking, or a concern that, although relevant, such information will prove mo</w:t>
      </w:r>
      <w:r w:rsidR="00BA6A71">
        <w:rPr>
          <w:rFonts w:ascii="Times New Roman" w:hAnsi="Times New Roman" w:cs="Times New Roman"/>
        </w:rPr>
        <w:t xml:space="preserve">re prejudicial than probative. </w:t>
      </w:r>
      <w:r w:rsidRPr="00534155">
        <w:rPr>
          <w:rFonts w:ascii="Times New Roman" w:hAnsi="Times New Roman" w:cs="Times New Roman"/>
        </w:rPr>
        <w:t>Although it is difficult to find federal cases taking such a position, a number of state decisions are addressed below.</w:t>
      </w:r>
    </w:p>
    <w:p w:rsidR="001C6202" w:rsidRPr="00FC122A" w:rsidRDefault="009E7088"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1440"/>
        <w:jc w:val="both"/>
        <w:rPr>
          <w:rFonts w:ascii="Times New Roman" w:hAnsi="Times New Roman" w:cs="Times New Roman"/>
          <w:b/>
          <w:bCs/>
        </w:rPr>
      </w:pPr>
      <w:r>
        <w:rPr>
          <w:rFonts w:ascii="Times New Roman" w:hAnsi="Times New Roman" w:cs="Times New Roman"/>
          <w:b/>
          <w:bCs/>
        </w:rPr>
        <w:t>2</w:t>
      </w:r>
      <w:r w:rsidR="001C6202" w:rsidRPr="00534155">
        <w:rPr>
          <w:rFonts w:ascii="Times New Roman" w:hAnsi="Times New Roman" w:cs="Times New Roman"/>
          <w:b/>
          <w:bCs/>
        </w:rPr>
        <w:t>.</w:t>
      </w:r>
      <w:r w:rsidR="001C6202" w:rsidRPr="00534155">
        <w:rPr>
          <w:rFonts w:ascii="Times New Roman" w:hAnsi="Times New Roman" w:cs="Times New Roman"/>
          <w:b/>
          <w:bCs/>
        </w:rPr>
        <w:tab/>
        <w:t>State Cases Not Admittin</w:t>
      </w:r>
      <w:r w:rsidR="00FC122A">
        <w:rPr>
          <w:rFonts w:ascii="Times New Roman" w:hAnsi="Times New Roman" w:cs="Times New Roman"/>
          <w:b/>
          <w:bCs/>
        </w:rPr>
        <w:t>g Post-Taking Rezoning Evidence</w:t>
      </w:r>
    </w:p>
    <w:p w:rsidR="001C6202" w:rsidRPr="00534155" w:rsidRDefault="00C32780" w:rsidP="00C3278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FC122A" w:rsidRPr="009E7088">
        <w:rPr>
          <w:rFonts w:ascii="Times New Roman" w:hAnsi="Times New Roman" w:cs="Times New Roman"/>
          <w:b/>
          <w:bCs/>
        </w:rPr>
        <w:t>a</w:t>
      </w:r>
      <w:r w:rsidR="001C6202" w:rsidRPr="009E7088">
        <w:rPr>
          <w:rFonts w:ascii="Times New Roman" w:hAnsi="Times New Roman" w:cs="Times New Roman"/>
          <w:b/>
          <w:bCs/>
        </w:rPr>
        <w:t>.</w:t>
      </w:r>
      <w:r w:rsidR="001C6202" w:rsidRPr="009E7088">
        <w:rPr>
          <w:rFonts w:ascii="Times New Roman" w:hAnsi="Times New Roman" w:cs="Times New Roman"/>
          <w:b/>
          <w:bCs/>
        </w:rPr>
        <w:tab/>
        <w:t>New Jersey</w:t>
      </w:r>
    </w:p>
    <w:p w:rsidR="001C6202" w:rsidRPr="00534155" w:rsidRDefault="009E7088"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Pr>
          <w:rFonts w:ascii="Times New Roman" w:hAnsi="Times New Roman" w:cs="Times New Roman"/>
        </w:rPr>
        <w:t>Although New Jersey courts are cited above as allowing post-taking rezoning into evidence, there are situations in which they do not. The</w:t>
      </w:r>
      <w:r w:rsidR="001C6202" w:rsidRPr="00534155">
        <w:rPr>
          <w:rFonts w:ascii="Times New Roman" w:hAnsi="Times New Roman" w:cs="Times New Roman"/>
        </w:rPr>
        <w:t xml:space="preserve"> Superior Court of New Jersey, Appellate Division </w:t>
      </w:r>
      <w:r>
        <w:rPr>
          <w:rFonts w:ascii="Times New Roman" w:hAnsi="Times New Roman" w:cs="Times New Roman"/>
        </w:rPr>
        <w:t>decided</w:t>
      </w:r>
      <w:r w:rsidR="001C6202" w:rsidRPr="00534155">
        <w:rPr>
          <w:rFonts w:ascii="Times New Roman" w:hAnsi="Times New Roman" w:cs="Times New Roman"/>
        </w:rPr>
        <w:t xml:space="preserve"> </w:t>
      </w:r>
      <w:r w:rsidR="001C6202" w:rsidRPr="00534155">
        <w:rPr>
          <w:rFonts w:ascii="Times New Roman" w:hAnsi="Times New Roman" w:cs="Times New Roman"/>
          <w:i/>
          <w:iCs/>
        </w:rPr>
        <w:t xml:space="preserve">Hwy. </w:t>
      </w:r>
      <w:r w:rsidR="00294955" w:rsidRPr="00534155">
        <w:rPr>
          <w:rFonts w:ascii="Times New Roman" w:hAnsi="Times New Roman" w:cs="Times New Roman"/>
          <w:i/>
          <w:iCs/>
        </w:rPr>
        <w:t>Comm</w:t>
      </w:r>
      <w:r w:rsidR="00294955">
        <w:rPr>
          <w:rFonts w:ascii="Times New Roman" w:hAnsi="Times New Roman" w:cs="Times New Roman"/>
          <w:i/>
          <w:iCs/>
        </w:rPr>
        <w:t>'n</w:t>
      </w:r>
      <w:r w:rsidR="00294955" w:rsidRPr="00534155">
        <w:rPr>
          <w:rFonts w:ascii="Times New Roman" w:hAnsi="Times New Roman" w:cs="Times New Roman"/>
          <w:i/>
          <w:iCs/>
        </w:rPr>
        <w:t>r.</w:t>
      </w:r>
      <w:r w:rsidR="001C6202" w:rsidRPr="00534155">
        <w:rPr>
          <w:rFonts w:ascii="Times New Roman" w:hAnsi="Times New Roman" w:cs="Times New Roman"/>
          <w:i/>
          <w:iCs/>
        </w:rPr>
        <w:t xml:space="preserve"> v. Speare</w:t>
      </w:r>
      <w:r w:rsidR="001C6202" w:rsidRPr="00534155">
        <w:rPr>
          <w:rStyle w:val="FootnoteReference"/>
          <w:rFonts w:ascii="Times New Roman" w:hAnsi="Times New Roman" w:cs="Times New Roman"/>
          <w:vertAlign w:val="superscript"/>
        </w:rPr>
        <w:footnoteReference w:id="142"/>
      </w:r>
      <w:r>
        <w:rPr>
          <w:rFonts w:ascii="Times New Roman" w:hAnsi="Times New Roman" w:cs="Times New Roman"/>
        </w:rPr>
        <w:t xml:space="preserve">, </w:t>
      </w:r>
      <w:r w:rsidRPr="009E7088">
        <w:rPr>
          <w:rFonts w:ascii="Times New Roman" w:hAnsi="Times New Roman" w:cs="Times New Roman"/>
        </w:rPr>
        <w:t>where the</w:t>
      </w:r>
      <w:r w:rsidR="001C6202" w:rsidRPr="00534155">
        <w:rPr>
          <w:rFonts w:ascii="Times New Roman" w:hAnsi="Times New Roman" w:cs="Times New Roman"/>
        </w:rPr>
        <w:t xml:space="preserve"> trial</w:t>
      </w:r>
      <w:r>
        <w:rPr>
          <w:rFonts w:ascii="Times New Roman" w:hAnsi="Times New Roman" w:cs="Times New Roman"/>
        </w:rPr>
        <w:t xml:space="preserve"> </w:t>
      </w:r>
      <w:r w:rsidR="001C6202" w:rsidRPr="00534155">
        <w:rPr>
          <w:rFonts w:ascii="Times New Roman" w:hAnsi="Times New Roman" w:cs="Times New Roman"/>
        </w:rPr>
        <w:t xml:space="preserve">court </w:t>
      </w:r>
      <w:r>
        <w:rPr>
          <w:rFonts w:ascii="Times New Roman" w:hAnsi="Times New Roman" w:cs="Times New Roman"/>
        </w:rPr>
        <w:t xml:space="preserve">had </w:t>
      </w:r>
      <w:r w:rsidR="001C6202" w:rsidRPr="00534155">
        <w:rPr>
          <w:rFonts w:ascii="Times New Roman" w:hAnsi="Times New Roman" w:cs="Times New Roman"/>
        </w:rPr>
        <w:t xml:space="preserve">permitted testimony regarding the possibility </w:t>
      </w:r>
      <w:r>
        <w:rPr>
          <w:rFonts w:ascii="Times New Roman" w:hAnsi="Times New Roman" w:cs="Times New Roman"/>
        </w:rPr>
        <w:t>of rezoning, and on appeal the c</w:t>
      </w:r>
      <w:r w:rsidR="001C6202" w:rsidRPr="00534155">
        <w:rPr>
          <w:rFonts w:ascii="Times New Roman" w:hAnsi="Times New Roman" w:cs="Times New Roman"/>
        </w:rPr>
        <w:t>ourt summarized the rele</w:t>
      </w:r>
      <w:r>
        <w:rPr>
          <w:rFonts w:ascii="Times New Roman" w:hAnsi="Times New Roman" w:cs="Times New Roman"/>
        </w:rPr>
        <w:t xml:space="preserve">vant principles of law, stating, </w:t>
      </w:r>
    </w:p>
    <w:p w:rsidR="001C6202" w:rsidRPr="00534155" w:rsidRDefault="001C6202" w:rsidP="001943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In short, if the parties to a voluntary transaction in agreeing upon the price as of the date of the taking, would give recognition to the reasonable probability of a zoning amendment, or the granting of a variance for a given use, such factors may be shown as bearing upon value.</w:t>
      </w:r>
      <w:r w:rsidRPr="00534155">
        <w:rPr>
          <w:rStyle w:val="FootnoteReference"/>
          <w:rFonts w:ascii="Times New Roman" w:hAnsi="Times New Roman" w:cs="Times New Roman"/>
          <w:vertAlign w:val="superscript"/>
        </w:rPr>
        <w:footnoteReference w:id="143"/>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When the zoning ordinance for the relevant parcel was invalidated after the landowners award for the taking had been established, the landowner sought a new trial in light of </w:t>
      </w:r>
      <w:r w:rsidR="009E7088">
        <w:rPr>
          <w:rFonts w:ascii="Times New Roman" w:hAnsi="Times New Roman" w:cs="Times New Roman"/>
        </w:rPr>
        <w:t>the updated zoning of the land.</w:t>
      </w:r>
      <w:r w:rsidRPr="00534155">
        <w:rPr>
          <w:rFonts w:ascii="Times New Roman" w:hAnsi="Times New Roman" w:cs="Times New Roman"/>
        </w:rPr>
        <w:t xml:space="preserve"> The landowner also sought to admit evidence of a subsequent sale of a portion of the remainder parcel as evidence </w:t>
      </w:r>
      <w:r w:rsidR="009E7088">
        <w:rPr>
          <w:rFonts w:ascii="Times New Roman" w:hAnsi="Times New Roman" w:cs="Times New Roman"/>
        </w:rPr>
        <w:t>of the value of the land taken. The c</w:t>
      </w:r>
      <w:r w:rsidRPr="00534155">
        <w:rPr>
          <w:rFonts w:ascii="Times New Roman" w:hAnsi="Times New Roman" w:cs="Times New Roman"/>
        </w:rPr>
        <w:t xml:space="preserve">ourt denied the condemnee’s request for a new trial, stating that the possibility of such a change in zoning could have been </w:t>
      </w:r>
      <w:r w:rsidRPr="00534155">
        <w:rPr>
          <w:rFonts w:ascii="Times New Roman" w:hAnsi="Times New Roman" w:cs="Times New Roman"/>
        </w:rPr>
        <w:lastRenderedPageBreak/>
        <w:t>presented at trial with due diligence, that the sale of the remainder could have been raised at trial, and that granting a new trial would result in constant re-litigation of the issue whenever any decision regarding a zoning ordinance is overruled by a higher court.</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hAnsi="Times New Roman" w:cs="Times New Roman"/>
        </w:rPr>
      </w:pPr>
      <w:r w:rsidRPr="00534155">
        <w:rPr>
          <w:rFonts w:ascii="Times New Roman" w:hAnsi="Times New Roman" w:cs="Times New Roman"/>
        </w:rPr>
        <w:t xml:space="preserve">The </w:t>
      </w:r>
      <w:r w:rsidR="009E7088">
        <w:rPr>
          <w:rFonts w:ascii="Times New Roman" w:hAnsi="Times New Roman" w:cs="Times New Roman"/>
        </w:rPr>
        <w:t>c</w:t>
      </w:r>
      <w:r w:rsidRPr="00534155">
        <w:rPr>
          <w:rFonts w:ascii="Times New Roman" w:hAnsi="Times New Roman" w:cs="Times New Roman"/>
        </w:rPr>
        <w:t>ourt held that the request for a new trial was properly denied regarding both pieces of propose</w:t>
      </w:r>
      <w:r w:rsidR="009E7088">
        <w:rPr>
          <w:rFonts w:ascii="Times New Roman" w:hAnsi="Times New Roman" w:cs="Times New Roman"/>
        </w:rPr>
        <w:t>d “newly discovered evi</w:t>
      </w:r>
      <w:r w:rsidR="00C0212F">
        <w:rPr>
          <w:rFonts w:ascii="Times New Roman" w:hAnsi="Times New Roman" w:cs="Times New Roman"/>
        </w:rPr>
        <w:t>dence</w:t>
      </w:r>
      <w:r w:rsidR="009E7088">
        <w:rPr>
          <w:rFonts w:ascii="Times New Roman" w:hAnsi="Times New Roman" w:cs="Times New Roman"/>
        </w:rPr>
        <w:t>”</w:t>
      </w:r>
      <w:r w:rsidR="00C0212F">
        <w:rPr>
          <w:rFonts w:ascii="Times New Roman" w:hAnsi="Times New Roman" w:cs="Times New Roman"/>
        </w:rPr>
        <w:t>.</w:t>
      </w:r>
      <w:r w:rsidR="009E7088">
        <w:rPr>
          <w:rFonts w:ascii="Times New Roman" w:hAnsi="Times New Roman" w:cs="Times New Roman"/>
        </w:rPr>
        <w:t xml:space="preserve"> </w:t>
      </w:r>
      <w:r w:rsidRPr="00534155">
        <w:rPr>
          <w:rFonts w:ascii="Times New Roman" w:hAnsi="Times New Roman" w:cs="Times New Roman"/>
        </w:rPr>
        <w:t>First, the contract of sale for the remainder occurred 27 months after the date of taking, it could likely have been brought to the attention of the Court at trial, and it contained a number of contingencies, including one that a subsequent rezoning be appro</w:t>
      </w:r>
      <w:r w:rsidR="00C0212F">
        <w:rPr>
          <w:rFonts w:ascii="Times New Roman" w:hAnsi="Times New Roman" w:cs="Times New Roman"/>
        </w:rPr>
        <w:t xml:space="preserve">ved for specific construction. </w:t>
      </w:r>
      <w:r w:rsidRPr="00534155">
        <w:rPr>
          <w:rFonts w:ascii="Times New Roman" w:hAnsi="Times New Roman" w:cs="Times New Roman"/>
        </w:rPr>
        <w:t>The second piece of newly discovered evidence was the invalidation of the zoning ordinance as applied to the parcel taken, subsequent to the date of the taki</w:t>
      </w:r>
      <w:r w:rsidR="009E7088">
        <w:rPr>
          <w:rFonts w:ascii="Times New Roman" w:hAnsi="Times New Roman" w:cs="Times New Roman"/>
        </w:rPr>
        <w:t>ng.</w:t>
      </w:r>
      <w:r w:rsidRPr="00534155">
        <w:rPr>
          <w:rFonts w:ascii="Times New Roman" w:hAnsi="Times New Roman" w:cs="Times New Roman"/>
        </w:rPr>
        <w:t xml:space="preserve"> The </w:t>
      </w:r>
      <w:r w:rsidR="009E7088">
        <w:rPr>
          <w:rFonts w:ascii="Times New Roman" w:hAnsi="Times New Roman" w:cs="Times New Roman"/>
        </w:rPr>
        <w:t>c</w:t>
      </w:r>
      <w:r w:rsidRPr="00534155">
        <w:rPr>
          <w:rFonts w:ascii="Times New Roman" w:hAnsi="Times New Roman" w:cs="Times New Roman"/>
        </w:rPr>
        <w:t>ourt determined that such information was not relevant to any determination of fair market value at the time of the taking, stating</w:t>
      </w:r>
      <w:r w:rsidR="009E7088">
        <w:rPr>
          <w:rFonts w:ascii="Times New Roman" w:hAnsi="Times New Roman" w:cs="Times New Roman"/>
        </w:rPr>
        <w:t>,</w:t>
      </w:r>
    </w:p>
    <w:p w:rsidR="001C6202" w:rsidRPr="00534155" w:rsidRDefault="001C6202" w:rsidP="0019434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Appellant's argument, in substance, is predicated upon the fact that Halpern, the Commissioner's expert, based his opinion of value upon a residential use only and gave no consideration to a possible commercial use. In this he relied upon the zoning ordinance in effect at the time of the taking and the fact that subsequently there had been manifestations that residential zoning would continue to be maintained in the area. On the other hand, appellant's experts testified that the highest and best use, and the only use to which the proper</w:t>
      </w:r>
      <w:r w:rsidR="00C0212F">
        <w:rPr>
          <w:rFonts w:ascii="Times New Roman" w:hAnsi="Times New Roman" w:cs="Times New Roman"/>
        </w:rPr>
        <w:t>ty was adapted, was commercial</w:t>
      </w:r>
      <w:r w:rsidRPr="00534155">
        <w:rPr>
          <w:rFonts w:ascii="Times New Roman" w:hAnsi="Times New Roman" w:cs="Times New Roman"/>
        </w:rPr>
        <w:t>.</w:t>
      </w:r>
      <w:r w:rsidRPr="00534155">
        <w:rPr>
          <w:rStyle w:val="FootnoteReference"/>
          <w:rFonts w:ascii="Times New Roman" w:hAnsi="Times New Roman" w:cs="Times New Roman"/>
          <w:vertAlign w:val="superscript"/>
        </w:rPr>
        <w:footnoteReference w:id="144"/>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 xml:space="preserve">In concluding that the evidence of rezoning did not constitute new evidence requiring a new trial, the </w:t>
      </w:r>
      <w:r w:rsidR="00C0212F">
        <w:rPr>
          <w:rFonts w:ascii="Times New Roman" w:eastAsia="MS PMincho" w:hAnsi="Times New Roman" w:cs="Times New Roman"/>
        </w:rPr>
        <w:t>court noted,</w:t>
      </w:r>
    </w:p>
    <w:p w:rsidR="001C6202" w:rsidRPr="00534155" w:rsidRDefault="001C6202" w:rsidP="001401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 xml:space="preserve">Appellant's contention that the property should not have been considered as being restricted to residential use was fully developed at the trial and the possibilities of commercial use through rezoning or variance were extensively explored. . . . </w:t>
      </w:r>
      <w:r w:rsidRPr="00534155">
        <w:rPr>
          <w:rFonts w:ascii="Times New Roman" w:eastAsia="MS PMincho" w:hAnsi="Times New Roman" w:cs="Times New Roman"/>
          <w:i/>
          <w:iCs/>
        </w:rPr>
        <w:t>Since the suit was not instituted until after the taking, it was not a factor which would have been taken into consideration in arriving at the fair market value as of that time.</w:t>
      </w:r>
      <w:r w:rsidRPr="00534155">
        <w:rPr>
          <w:rFonts w:ascii="Times New Roman" w:eastAsia="MS PMincho" w:hAnsi="Times New Roman" w:cs="Times New Roman"/>
        </w:rPr>
        <w:t xml:space="preserve"> Additionally, the evidence could have been produced at the trial by the exercise of due diligence, either through a motion to adjourn the case </w:t>
      </w:r>
      <w:r w:rsidRPr="00534155">
        <w:rPr>
          <w:rFonts w:ascii="Times New Roman" w:eastAsia="MS PMincho" w:hAnsi="Times New Roman" w:cs="Times New Roman"/>
          <w:i/>
          <w:iCs/>
        </w:rPr>
        <w:t>sub judice</w:t>
      </w:r>
      <w:r w:rsidRPr="00534155">
        <w:rPr>
          <w:rFonts w:ascii="Times New Roman" w:eastAsia="MS PMincho" w:hAnsi="Times New Roman" w:cs="Times New Roman"/>
        </w:rPr>
        <w:t xml:space="preserve"> or to consolidate the cases and delay the trial of the condemnation case until the action in lieu of prerogative writs had been determined. Appellant, a </w:t>
      </w:r>
      <w:r w:rsidRPr="00534155">
        <w:rPr>
          <w:rFonts w:ascii="Times New Roman" w:eastAsia="MS PMincho" w:hAnsi="Times New Roman" w:cs="Times New Roman"/>
        </w:rPr>
        <w:lastRenderedPageBreak/>
        <w:t>party to both suits, elected to remain silent. Public policy and sound jurisprudence dictate that there must be a finality to judgments and an end to litigation.</w:t>
      </w:r>
      <w:r w:rsidRPr="00534155">
        <w:rPr>
          <w:rStyle w:val="FootnoteReference"/>
          <w:rFonts w:ascii="Times New Roman" w:eastAsia="MS PMincho" w:hAnsi="Times New Roman" w:cs="Times New Roman"/>
          <w:vertAlign w:val="superscript"/>
        </w:rPr>
        <w:footnoteReference w:id="145"/>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eastAsia="MS PMincho" w:hAnsi="Times New Roman" w:cs="Times New Roman"/>
        </w:rPr>
      </w:pP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Following the principle established in </w:t>
      </w:r>
      <w:r w:rsidRPr="00534155">
        <w:rPr>
          <w:rFonts w:ascii="Times New Roman" w:eastAsia="MS PMincho" w:hAnsi="Times New Roman" w:cs="Times New Roman"/>
          <w:i/>
          <w:iCs/>
        </w:rPr>
        <w:t>Speare</w:t>
      </w:r>
      <w:r w:rsidRPr="00534155">
        <w:rPr>
          <w:rFonts w:ascii="Times New Roman" w:eastAsia="MS PMincho" w:hAnsi="Times New Roman" w:cs="Times New Roman"/>
        </w:rPr>
        <w:t xml:space="preserve">, the Court in </w:t>
      </w:r>
      <w:r w:rsidR="00294955">
        <w:rPr>
          <w:rFonts w:ascii="Times New Roman" w:eastAsia="MS PMincho" w:hAnsi="Times New Roman" w:cs="Times New Roman"/>
          <w:i/>
          <w:iCs/>
        </w:rPr>
        <w:t>Comm'nr.</w:t>
      </w:r>
      <w:r w:rsidRPr="00534155">
        <w:rPr>
          <w:rFonts w:ascii="Times New Roman" w:eastAsia="MS PMincho" w:hAnsi="Times New Roman" w:cs="Times New Roman"/>
          <w:i/>
          <w:iCs/>
        </w:rPr>
        <w:t xml:space="preserve"> of Transp. </w:t>
      </w:r>
      <w:r w:rsidR="00C0212F">
        <w:rPr>
          <w:rFonts w:ascii="Times New Roman" w:eastAsia="MS PMincho" w:hAnsi="Times New Roman" w:cs="Times New Roman"/>
          <w:i/>
          <w:iCs/>
        </w:rPr>
        <w:t>v</w:t>
      </w:r>
      <w:r w:rsidRPr="00534155">
        <w:rPr>
          <w:rFonts w:ascii="Times New Roman" w:eastAsia="MS PMincho" w:hAnsi="Times New Roman" w:cs="Times New Roman"/>
          <w:i/>
          <w:iCs/>
        </w:rPr>
        <w:t>. Market Associates</w:t>
      </w:r>
      <w:r w:rsidRPr="00534155">
        <w:rPr>
          <w:rStyle w:val="FootnoteReference"/>
          <w:rFonts w:ascii="Times New Roman" w:eastAsia="MS PMincho" w:hAnsi="Times New Roman" w:cs="Times New Roman"/>
          <w:i/>
          <w:iCs/>
          <w:vertAlign w:val="superscript"/>
        </w:rPr>
        <w:footnoteReference w:id="146"/>
      </w:r>
      <w:r w:rsidRPr="00534155">
        <w:rPr>
          <w:rFonts w:ascii="Times New Roman" w:eastAsia="MS PMincho" w:hAnsi="Times New Roman" w:cs="Times New Roman"/>
          <w:i/>
          <w:iCs/>
        </w:rPr>
        <w:t xml:space="preserve"> </w:t>
      </w:r>
      <w:r w:rsidRPr="00534155">
        <w:rPr>
          <w:rFonts w:ascii="Times New Roman" w:eastAsia="MS PMincho" w:hAnsi="Times New Roman" w:cs="Times New Roman"/>
        </w:rPr>
        <w:t>considered a case where the likelihood of the invalidation of the local zoning ordinance was li</w:t>
      </w:r>
      <w:r w:rsidR="00C0212F">
        <w:rPr>
          <w:rFonts w:ascii="Times New Roman" w:eastAsia="MS PMincho" w:hAnsi="Times New Roman" w:cs="Times New Roman"/>
        </w:rPr>
        <w:t>kely at the time of the taking. With that in mind, the c</w:t>
      </w:r>
      <w:r w:rsidRPr="00534155">
        <w:rPr>
          <w:rFonts w:ascii="Times New Roman" w:eastAsia="MS PMincho" w:hAnsi="Times New Roman" w:cs="Times New Roman"/>
        </w:rPr>
        <w:t>ourt stated that:</w:t>
      </w:r>
    </w:p>
    <w:p w:rsidR="001C6202" w:rsidRPr="00534155" w:rsidRDefault="001C6202" w:rsidP="00C0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This likelihood, in turn, rendered it at least reasonably probable that there would be a change of those zoning regulations in the near future. Consequently, the determination of the trial judge that, as of the date of taking, there was no reasonable probability of a zone change in the near future, was in error and must be reversed, and the cause remanded for trial.</w:t>
      </w:r>
      <w:r w:rsidRPr="00534155">
        <w:rPr>
          <w:rStyle w:val="FootnoteReference"/>
          <w:rFonts w:ascii="Times New Roman" w:eastAsia="MS PMincho" w:hAnsi="Times New Roman" w:cs="Times New Roman"/>
          <w:vertAlign w:val="superscript"/>
        </w:rPr>
        <w:footnoteReference w:id="147"/>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rPr>
      </w:pPr>
    </w:p>
    <w:p w:rsidR="001C6202" w:rsidRPr="00534155" w:rsidRDefault="00C0212F"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eastAsia="MS PMincho" w:hAnsi="Times New Roman" w:cs="Times New Roman"/>
        </w:rPr>
      </w:pPr>
      <w:r>
        <w:rPr>
          <w:rFonts w:ascii="Times New Roman" w:eastAsia="MS PMincho" w:hAnsi="Times New Roman" w:cs="Times New Roman"/>
        </w:rPr>
        <w:t>Upon remand the c</w:t>
      </w:r>
      <w:r w:rsidR="001C6202" w:rsidRPr="00534155">
        <w:rPr>
          <w:rFonts w:ascii="Times New Roman" w:eastAsia="MS PMincho" w:hAnsi="Times New Roman" w:cs="Times New Roman"/>
        </w:rPr>
        <w:t>ourt stated that both sides would be permitted to admit evidence of the market value of the land as restricted by the current zoning, plus the premium that a willing buyer would pay for that land, based on the possibility that the land would subsequently be rezoned.</w:t>
      </w:r>
      <w:r w:rsidR="001C6202" w:rsidRPr="00534155">
        <w:rPr>
          <w:rStyle w:val="FootnoteReference"/>
          <w:rFonts w:ascii="Times New Roman" w:eastAsia="MS PMincho" w:hAnsi="Times New Roman" w:cs="Times New Roman"/>
          <w:vertAlign w:val="superscript"/>
        </w:rPr>
        <w:footnoteReference w:id="148"/>
      </w:r>
      <w:r>
        <w:rPr>
          <w:rFonts w:ascii="Times New Roman" w:eastAsia="MS PMincho" w:hAnsi="Times New Roman" w:cs="Times New Roman"/>
        </w:rPr>
        <w:t xml:space="preserve"> </w:t>
      </w:r>
      <w:r w:rsidR="001C6202" w:rsidRPr="00534155">
        <w:rPr>
          <w:rFonts w:ascii="Times New Roman" w:eastAsia="MS PMincho" w:hAnsi="Times New Roman" w:cs="Times New Roman"/>
        </w:rPr>
        <w:t>S</w:t>
      </w:r>
      <w:r>
        <w:rPr>
          <w:rFonts w:ascii="Times New Roman" w:eastAsia="MS PMincho" w:hAnsi="Times New Roman" w:cs="Times New Roman"/>
        </w:rPr>
        <w:t>ummarizing this principle, the c</w:t>
      </w:r>
      <w:r w:rsidR="001C6202" w:rsidRPr="00534155">
        <w:rPr>
          <w:rFonts w:ascii="Times New Roman" w:eastAsia="MS PMincho" w:hAnsi="Times New Roman" w:cs="Times New Roman"/>
        </w:rPr>
        <w:t>ourt stated that:</w:t>
      </w:r>
    </w:p>
    <w:p w:rsidR="001C6202" w:rsidRPr="00534155" w:rsidRDefault="001C6202" w:rsidP="001401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[E]vidence as to the market value of the property for the uses which would be permitted if the zoning change were in fact adopted or which would be permitted were the property to remain unzoned following the likely judicial declaration of invalidity of the regulations in effect as of the date of taking, may be submitted. But such testimony may be received only for the limited purpose of explanation by the expert of his opinion of the then market value as affected by the reasonable probability of a zone change in the near future, and the jury should be instructed accordingly.</w:t>
      </w:r>
      <w:r w:rsidRPr="00534155">
        <w:rPr>
          <w:rStyle w:val="FootnoteReference"/>
          <w:rFonts w:ascii="Times New Roman" w:eastAsia="MS PMincho" w:hAnsi="Times New Roman" w:cs="Times New Roman"/>
          <w:vertAlign w:val="superscript"/>
        </w:rPr>
        <w:footnoteReference w:id="149"/>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rPr>
      </w:pP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 xml:space="preserve">With the aforementioned principles in mind, the </w:t>
      </w:r>
      <w:r w:rsidR="00C0212F">
        <w:rPr>
          <w:rFonts w:ascii="Times New Roman" w:eastAsia="MS PMincho" w:hAnsi="Times New Roman" w:cs="Times New Roman"/>
        </w:rPr>
        <w:t>c</w:t>
      </w:r>
      <w:r w:rsidRPr="00534155">
        <w:rPr>
          <w:rFonts w:ascii="Times New Roman" w:eastAsia="MS PMincho" w:hAnsi="Times New Roman" w:cs="Times New Roman"/>
        </w:rPr>
        <w:t>ourt held that:</w:t>
      </w:r>
    </w:p>
    <w:p w:rsidR="001C6202" w:rsidRPr="00534155" w:rsidRDefault="001C6202" w:rsidP="0014010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 xml:space="preserve">The circumstance that this court in 1974 did in fact declare invalid the 1968 zoning regulations governing the use of this property [citation omitted], and that thereafter the Supreme Court denied certification [citation omitted] is of no significance on the issue of value in this litigation; nor does it sanction proof by the landowner of the market value of the property on the basis of its highest and </w:t>
      </w:r>
      <w:r w:rsidRPr="00534155">
        <w:rPr>
          <w:rFonts w:ascii="Times New Roman" w:eastAsia="MS PMincho" w:hAnsi="Times New Roman" w:cs="Times New Roman"/>
        </w:rPr>
        <w:lastRenderedPageBreak/>
        <w:t>best use as though it were unregulated or unzoned at the time of the taking. The value must be determined in the light of the attendant facts and circumstances as of the date of the taking -- including the existence of the uninvalidated zoning regulations, and the reasonable probability of their being changed by reason of their likely invalidity.</w:t>
      </w:r>
      <w:r w:rsidRPr="00534155">
        <w:rPr>
          <w:rStyle w:val="FootnoteReference"/>
          <w:rFonts w:ascii="Times New Roman" w:eastAsia="MS PMincho" w:hAnsi="Times New Roman" w:cs="Times New Roman"/>
          <w:vertAlign w:val="superscript"/>
        </w:rPr>
        <w:footnoteReference w:id="150"/>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rPr>
      </w:pPr>
    </w:p>
    <w:p w:rsidR="001C6202"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 xml:space="preserve">Thus, the </w:t>
      </w:r>
      <w:r w:rsidR="00C0212F">
        <w:rPr>
          <w:rFonts w:ascii="Times New Roman" w:eastAsia="MS PMincho" w:hAnsi="Times New Roman" w:cs="Times New Roman"/>
        </w:rPr>
        <w:t>c</w:t>
      </w:r>
      <w:r w:rsidRPr="00534155">
        <w:rPr>
          <w:rFonts w:ascii="Times New Roman" w:eastAsia="MS PMincho" w:hAnsi="Times New Roman" w:cs="Times New Roman"/>
        </w:rPr>
        <w:t>ourt determined that the possibility of post-taking zoning may be considered in calculating the value of the property at the time of the taking, but evidence of subsequent invalidation of the zoning ordinance would not be admissible, as it would not be considered one of the attendant facts and circumstances that were known as of the date of the taking.</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b/>
          <w:bCs/>
        </w:rPr>
      </w:pPr>
      <w:r>
        <w:rPr>
          <w:rFonts w:ascii="Times New Roman" w:eastAsia="MS PMincho" w:hAnsi="Times New Roman" w:cs="Times New Roman"/>
          <w:b/>
          <w:bCs/>
        </w:rPr>
        <w:tab/>
      </w:r>
      <w:r>
        <w:rPr>
          <w:rFonts w:ascii="Times New Roman" w:eastAsia="MS PMincho" w:hAnsi="Times New Roman" w:cs="Times New Roman"/>
          <w:b/>
          <w:bCs/>
        </w:rPr>
        <w:tab/>
      </w:r>
      <w:r>
        <w:rPr>
          <w:rFonts w:ascii="Times New Roman" w:eastAsia="MS PMincho" w:hAnsi="Times New Roman" w:cs="Times New Roman"/>
          <w:b/>
          <w:bCs/>
        </w:rPr>
        <w:tab/>
        <w:t>b</w:t>
      </w:r>
      <w:r w:rsidRPr="00534155">
        <w:rPr>
          <w:rFonts w:ascii="Times New Roman" w:eastAsia="MS PMincho" w:hAnsi="Times New Roman" w:cs="Times New Roman"/>
          <w:b/>
          <w:bCs/>
        </w:rPr>
        <w:t>.</w:t>
      </w:r>
      <w:r w:rsidRPr="00534155">
        <w:rPr>
          <w:rFonts w:ascii="Times New Roman" w:eastAsia="MS PMincho" w:hAnsi="Times New Roman" w:cs="Times New Roman"/>
          <w:b/>
          <w:bCs/>
        </w:rPr>
        <w:tab/>
        <w:t>New York</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New York has also </w:t>
      </w:r>
      <w:r w:rsidR="00C0212F">
        <w:rPr>
          <w:rFonts w:ascii="Times New Roman" w:eastAsia="MS PMincho" w:hAnsi="Times New Roman" w:cs="Times New Roman"/>
        </w:rPr>
        <w:t>found that</w:t>
      </w:r>
      <w:r w:rsidRPr="00534155">
        <w:rPr>
          <w:rFonts w:ascii="Times New Roman" w:eastAsia="MS PMincho" w:hAnsi="Times New Roman" w:cs="Times New Roman"/>
        </w:rPr>
        <w:t xml:space="preserve"> zoning decisions subsequent to the taking are</w:t>
      </w:r>
      <w:r w:rsidR="00C0212F">
        <w:rPr>
          <w:rFonts w:ascii="Times New Roman" w:eastAsia="MS PMincho" w:hAnsi="Times New Roman" w:cs="Times New Roman"/>
        </w:rPr>
        <w:t xml:space="preserve"> sometimes</w:t>
      </w:r>
      <w:r w:rsidRPr="00534155">
        <w:rPr>
          <w:rFonts w:ascii="Times New Roman" w:eastAsia="MS PMincho" w:hAnsi="Times New Roman" w:cs="Times New Roman"/>
        </w:rPr>
        <w:t xml:space="preserve"> not relevant to proving the probability of a zoning cha</w:t>
      </w:r>
      <w:r w:rsidR="00C0212F">
        <w:rPr>
          <w:rFonts w:ascii="Times New Roman" w:eastAsia="MS PMincho" w:hAnsi="Times New Roman" w:cs="Times New Roman"/>
        </w:rPr>
        <w:t xml:space="preserve">nge at the time of the taking. </w:t>
      </w:r>
      <w:r w:rsidRPr="00534155">
        <w:rPr>
          <w:rFonts w:ascii="Times New Roman" w:eastAsia="MS PMincho" w:hAnsi="Times New Roman" w:cs="Times New Roman"/>
        </w:rPr>
        <w:t xml:space="preserve">In </w:t>
      </w:r>
      <w:r w:rsidRPr="00534155">
        <w:rPr>
          <w:rFonts w:ascii="Times New Roman" w:eastAsia="MS PMincho" w:hAnsi="Times New Roman" w:cs="Times New Roman"/>
          <w:i/>
          <w:iCs/>
        </w:rPr>
        <w:t>Ridgefield Realty Corp. v. State</w:t>
      </w:r>
      <w:r w:rsidRPr="00534155">
        <w:rPr>
          <w:rStyle w:val="FootnoteReference"/>
          <w:rFonts w:ascii="Times New Roman" w:eastAsia="MS PMincho" w:hAnsi="Times New Roman" w:cs="Times New Roman"/>
          <w:vertAlign w:val="superscript"/>
        </w:rPr>
        <w:footnoteReference w:id="151"/>
      </w:r>
      <w:r w:rsidR="00C0212F">
        <w:rPr>
          <w:rFonts w:ascii="Times New Roman" w:eastAsia="MS PMincho" w:hAnsi="Times New Roman" w:cs="Times New Roman"/>
          <w:i/>
          <w:iCs/>
        </w:rPr>
        <w:t>,</w:t>
      </w:r>
      <w:r w:rsidRPr="00534155">
        <w:rPr>
          <w:rFonts w:ascii="Times New Roman" w:eastAsia="MS PMincho" w:hAnsi="Times New Roman" w:cs="Times New Roman"/>
        </w:rPr>
        <w:t xml:space="preserve"> the Appellate Division of the Supreme Court of New York considered a case where the trial court rejected the claimant’s proposed highest and best use of the property, finding that the claimant “had not shown a reasonable probability that there would be a change in zoning so as to permit the property to be used as a gasoline service station.”</w:t>
      </w:r>
      <w:r w:rsidRPr="00534155">
        <w:rPr>
          <w:rStyle w:val="FootnoteReference"/>
          <w:rFonts w:ascii="Times New Roman" w:eastAsia="MS PMincho" w:hAnsi="Times New Roman" w:cs="Times New Roman"/>
          <w:vertAlign w:val="superscript"/>
        </w:rPr>
        <w:footnoteReference w:id="152"/>
      </w:r>
      <w:r w:rsidRPr="00534155">
        <w:rPr>
          <w:rFonts w:ascii="Times New Roman" w:eastAsia="MS PMincho" w:hAnsi="Times New Roman" w:cs="Times New Roman"/>
        </w:rPr>
        <w:t xml:space="preserve"> In affirming the lower court’s decision, the </w:t>
      </w:r>
      <w:r w:rsidR="00C0212F">
        <w:rPr>
          <w:rFonts w:ascii="Times New Roman" w:eastAsia="MS PMincho" w:hAnsi="Times New Roman" w:cs="Times New Roman"/>
        </w:rPr>
        <w:t>c</w:t>
      </w:r>
      <w:r w:rsidRPr="00534155">
        <w:rPr>
          <w:rFonts w:ascii="Times New Roman" w:eastAsia="MS PMincho" w:hAnsi="Times New Roman" w:cs="Times New Roman"/>
        </w:rPr>
        <w:t xml:space="preserve">ourt noted that “The burden of proving the existence of a reasonable probability of a zoning change </w:t>
      </w:r>
      <w:r w:rsidRPr="00534155">
        <w:rPr>
          <w:rFonts w:ascii="Times New Roman" w:eastAsia="MS PMincho" w:hAnsi="Times New Roman" w:cs="Times New Roman"/>
          <w:i/>
          <w:iCs/>
        </w:rPr>
        <w:t>at the time</w:t>
      </w:r>
      <w:r w:rsidRPr="00534155">
        <w:rPr>
          <w:rFonts w:ascii="Times New Roman" w:eastAsia="MS PMincho" w:hAnsi="Times New Roman" w:cs="Times New Roman"/>
        </w:rPr>
        <w:t xml:space="preserve"> of taking is on the claimant.”</w:t>
      </w:r>
      <w:r w:rsidRPr="00534155">
        <w:rPr>
          <w:rStyle w:val="FootnoteReference"/>
          <w:rFonts w:ascii="Times New Roman" w:eastAsia="MS PMincho" w:hAnsi="Times New Roman" w:cs="Times New Roman"/>
          <w:vertAlign w:val="superscript"/>
        </w:rPr>
        <w:footnoteReference w:id="153"/>
      </w:r>
      <w:r w:rsidRPr="00534155">
        <w:rPr>
          <w:rFonts w:ascii="Times New Roman" w:eastAsia="MS PMincho" w:hAnsi="Times New Roman" w:cs="Times New Roman"/>
        </w:rPr>
        <w:t xml:space="preserve">  In rejecting claimant’s offer of evidence of two gas stations permitted to be built two years after the taking, and of a shopping center that was in the planning stages at the time of the taking, the Court stated </w:t>
      </w:r>
      <w:r w:rsidRPr="00534155">
        <w:rPr>
          <w:rFonts w:ascii="Times New Roman" w:eastAsia="MS PMincho" w:hAnsi="Times New Roman" w:cs="Times New Roman"/>
        </w:rPr>
        <w:lastRenderedPageBreak/>
        <w:t>that “Claimant's reliance upon developments occurring after the appropriation constituted a failure of claimant to prove the reasonable probability of a zoning change.”</w:t>
      </w:r>
      <w:r w:rsidRPr="00534155">
        <w:rPr>
          <w:rStyle w:val="FootnoteReference"/>
          <w:rFonts w:ascii="Times New Roman" w:eastAsia="MS PMincho" w:hAnsi="Times New Roman" w:cs="Times New Roman"/>
          <w:vertAlign w:val="superscript"/>
        </w:rPr>
        <w:footnoteReference w:id="154"/>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b/>
          <w:bCs/>
        </w:rPr>
      </w:pPr>
      <w:r>
        <w:rPr>
          <w:rFonts w:ascii="Times New Roman" w:eastAsia="MS PMincho" w:hAnsi="Times New Roman" w:cs="Times New Roman"/>
          <w:b/>
          <w:bCs/>
        </w:rPr>
        <w:tab/>
      </w:r>
      <w:r>
        <w:rPr>
          <w:rFonts w:ascii="Times New Roman" w:eastAsia="MS PMincho" w:hAnsi="Times New Roman" w:cs="Times New Roman"/>
          <w:b/>
          <w:bCs/>
        </w:rPr>
        <w:tab/>
      </w:r>
      <w:r>
        <w:rPr>
          <w:rFonts w:ascii="Times New Roman" w:eastAsia="MS PMincho" w:hAnsi="Times New Roman" w:cs="Times New Roman"/>
          <w:b/>
          <w:bCs/>
        </w:rPr>
        <w:tab/>
        <w:t>c</w:t>
      </w:r>
      <w:r w:rsidRPr="00534155">
        <w:rPr>
          <w:rFonts w:ascii="Times New Roman" w:eastAsia="MS PMincho" w:hAnsi="Times New Roman" w:cs="Times New Roman"/>
          <w:b/>
          <w:bCs/>
        </w:rPr>
        <w:t>.</w:t>
      </w:r>
      <w:r w:rsidRPr="00534155">
        <w:rPr>
          <w:rFonts w:ascii="Times New Roman" w:eastAsia="MS PMincho" w:hAnsi="Times New Roman" w:cs="Times New Roman"/>
          <w:b/>
          <w:bCs/>
        </w:rPr>
        <w:tab/>
        <w:t>Ohio</w:t>
      </w:r>
    </w:p>
    <w:p w:rsidR="00FC122A" w:rsidRPr="00534155" w:rsidRDefault="00FC122A" w:rsidP="00C0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In </w:t>
      </w:r>
      <w:r w:rsidRPr="00534155">
        <w:rPr>
          <w:rFonts w:ascii="Times New Roman" w:eastAsia="MS PMincho" w:hAnsi="Times New Roman" w:cs="Times New Roman"/>
          <w:i/>
          <w:iCs/>
        </w:rPr>
        <w:t>Masheter v. Kebe</w:t>
      </w:r>
      <w:r w:rsidRPr="00C0212F">
        <w:rPr>
          <w:rStyle w:val="FootnoteReference"/>
          <w:rFonts w:ascii="Times New Roman" w:eastAsia="MS PMincho" w:hAnsi="Times New Roman" w:cs="Times New Roman"/>
          <w:iCs/>
          <w:vertAlign w:val="superscript"/>
        </w:rPr>
        <w:footnoteReference w:id="155"/>
      </w:r>
      <w:r w:rsidR="00C0212F" w:rsidRPr="00534155">
        <w:rPr>
          <w:rFonts w:ascii="Times New Roman" w:eastAsia="MS PMincho" w:hAnsi="Times New Roman" w:cs="Times New Roman"/>
          <w:i/>
          <w:iCs/>
        </w:rPr>
        <w:t>,</w:t>
      </w:r>
      <w:r w:rsidRPr="00534155">
        <w:rPr>
          <w:rFonts w:ascii="Times New Roman" w:eastAsia="MS PMincho" w:hAnsi="Times New Roman" w:cs="Times New Roman"/>
          <w:i/>
          <w:iCs/>
        </w:rPr>
        <w:t xml:space="preserve"> </w:t>
      </w:r>
      <w:r w:rsidRPr="00534155">
        <w:rPr>
          <w:rFonts w:ascii="Times New Roman" w:eastAsia="MS PMincho" w:hAnsi="Times New Roman" w:cs="Times New Roman"/>
        </w:rPr>
        <w:t>the Court of Appeals</w:t>
      </w:r>
      <w:r w:rsidR="00C0212F">
        <w:rPr>
          <w:rFonts w:ascii="Times New Roman" w:eastAsia="MS PMincho" w:hAnsi="Times New Roman" w:cs="Times New Roman"/>
        </w:rPr>
        <w:t xml:space="preserve"> of Ohio considered whether the trial court should have considered the rezoning of a remainder parcel, when valuing a property. </w:t>
      </w:r>
      <w:r w:rsidRPr="00534155">
        <w:rPr>
          <w:rFonts w:ascii="Times New Roman" w:eastAsia="MS PMincho" w:hAnsi="Times New Roman" w:cs="Times New Roman"/>
        </w:rPr>
        <w:t>The property in question was taken for interstate highway construction, and the remainder was rezoned from residential use</w:t>
      </w:r>
      <w:r w:rsidR="00C0212F">
        <w:rPr>
          <w:rFonts w:ascii="Times New Roman" w:eastAsia="MS PMincho" w:hAnsi="Times New Roman" w:cs="Times New Roman"/>
        </w:rPr>
        <w:t xml:space="preserve">s to highway interchange uses. </w:t>
      </w:r>
      <w:r w:rsidRPr="00534155">
        <w:rPr>
          <w:rFonts w:ascii="Times New Roman" w:eastAsia="MS PMincho" w:hAnsi="Times New Roman" w:cs="Times New Roman"/>
        </w:rPr>
        <w:t>The trial court had instructed the jury to consider the value in terms of the zoning existing at the time of the taking, which was residential for the parcel taken, and interchange for</w:t>
      </w:r>
      <w:r w:rsidR="00C0212F">
        <w:rPr>
          <w:rFonts w:ascii="Times New Roman" w:eastAsia="MS PMincho" w:hAnsi="Times New Roman" w:cs="Times New Roman"/>
        </w:rPr>
        <w:t xml:space="preserve"> the remainder. </w:t>
      </w:r>
      <w:r w:rsidRPr="00534155">
        <w:rPr>
          <w:rFonts w:ascii="Times New Roman" w:eastAsia="MS PMincho" w:hAnsi="Times New Roman" w:cs="Times New Roman"/>
        </w:rPr>
        <w:t>The Court of Appeals agreed with the property owner that it was improper for the trial court to consider the value of the remainder in light i</w:t>
      </w:r>
      <w:r w:rsidR="00C0212F">
        <w:rPr>
          <w:rFonts w:ascii="Times New Roman" w:eastAsia="MS PMincho" w:hAnsi="Times New Roman" w:cs="Times New Roman"/>
        </w:rPr>
        <w:t>f its rezoned interchange uses.</w:t>
      </w:r>
      <w:r w:rsidRPr="00534155">
        <w:rPr>
          <w:rFonts w:ascii="Times New Roman" w:eastAsia="MS PMincho" w:hAnsi="Times New Roman" w:cs="Times New Roman"/>
        </w:rPr>
        <w:t xml:space="preserve"> Testimony from the Mayor of Westlake indicated that the interchange zoning is peculiar to superhighways, wi</w:t>
      </w:r>
      <w:r w:rsidR="009E7088">
        <w:rPr>
          <w:rFonts w:ascii="Times New Roman" w:eastAsia="MS PMincho" w:hAnsi="Times New Roman" w:cs="Times New Roman"/>
        </w:rPr>
        <w:t>thout which it would not exist.</w:t>
      </w:r>
      <w:r w:rsidRPr="00534155">
        <w:rPr>
          <w:rFonts w:ascii="Times New Roman" w:eastAsia="MS PMincho" w:hAnsi="Times New Roman" w:cs="Times New Roman"/>
        </w:rPr>
        <w:t xml:space="preserve"> Cognizant of this fact, the </w:t>
      </w:r>
      <w:r w:rsidR="00C0212F">
        <w:rPr>
          <w:rFonts w:ascii="Times New Roman" w:eastAsia="MS PMincho" w:hAnsi="Times New Roman" w:cs="Times New Roman"/>
        </w:rPr>
        <w:t xml:space="preserve">court stated, </w:t>
      </w:r>
    </w:p>
    <w:p w:rsidR="00FC122A" w:rsidRPr="00534155" w:rsidRDefault="00FC122A" w:rsidP="00C0212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eastAsia="MS PMincho" w:hAnsi="Times New Roman" w:cs="Times New Roman"/>
        </w:rPr>
      </w:pPr>
      <w:r w:rsidRPr="00534155">
        <w:rPr>
          <w:rFonts w:ascii="Times New Roman" w:eastAsia="MS PMincho" w:hAnsi="Times New Roman" w:cs="Times New Roman"/>
        </w:rPr>
        <w:t>Thus, the zoning was a direct result of the construction of the highway and would not have existed without the highway. Therefore, the familiar rule that property taken by condemnation proceedings should be valued irrespective of the effects of the improvement upon it [citation omitted] applies to considering a zoning change connected with and brought about by the improvement.</w:t>
      </w:r>
      <w:r w:rsidRPr="00534155">
        <w:rPr>
          <w:rStyle w:val="FootnoteReference"/>
          <w:rFonts w:ascii="Times New Roman" w:eastAsia="MS PMincho" w:hAnsi="Times New Roman" w:cs="Times New Roman"/>
          <w:vertAlign w:val="superscript"/>
        </w:rPr>
        <w:footnoteReference w:id="156"/>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MS PMincho" w:hAnsi="Times New Roman" w:cs="Times New Roman"/>
        </w:rPr>
      </w:pPr>
    </w:p>
    <w:p w:rsidR="00FC122A" w:rsidRDefault="00C0212F" w:rsidP="00C0212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Pr>
          <w:rFonts w:ascii="Times New Roman" w:eastAsia="MS PMincho" w:hAnsi="Times New Roman" w:cs="Times New Roman"/>
        </w:rPr>
        <w:t xml:space="preserve">Thus, this decision was essentially based on the scope-of-the-project rule. </w:t>
      </w:r>
      <w:r w:rsidR="00FC122A" w:rsidRPr="00534155">
        <w:rPr>
          <w:rFonts w:ascii="Times New Roman" w:eastAsia="MS PMincho" w:hAnsi="Times New Roman" w:cs="Times New Roman"/>
        </w:rPr>
        <w:t xml:space="preserve">The </w:t>
      </w:r>
      <w:r>
        <w:rPr>
          <w:rFonts w:ascii="Times New Roman" w:eastAsia="MS PMincho" w:hAnsi="Times New Roman" w:cs="Times New Roman"/>
        </w:rPr>
        <w:t>c</w:t>
      </w:r>
      <w:r w:rsidR="00FC122A" w:rsidRPr="00534155">
        <w:rPr>
          <w:rFonts w:ascii="Times New Roman" w:eastAsia="MS PMincho" w:hAnsi="Times New Roman" w:cs="Times New Roman"/>
        </w:rPr>
        <w:t xml:space="preserve">ourt determined that forcing the property owner’s experts to limit their testimony only to those uses that were permissible under the rezoning that resulted from the condemnation project itself was prejudicial, and </w:t>
      </w:r>
      <w:r>
        <w:rPr>
          <w:rFonts w:ascii="Times New Roman" w:eastAsia="MS PMincho" w:hAnsi="Times New Roman" w:cs="Times New Roman"/>
        </w:rPr>
        <w:t>served as grounds for reversal.</w:t>
      </w:r>
      <w:r w:rsidR="00FC122A" w:rsidRPr="00534155">
        <w:rPr>
          <w:rFonts w:ascii="Times New Roman" w:eastAsia="MS PMincho" w:hAnsi="Times New Roman" w:cs="Times New Roman"/>
        </w:rPr>
        <w:t xml:space="preserve"> The case was remanded for determination of the value of the </w:t>
      </w:r>
      <w:r w:rsidR="00FC122A" w:rsidRPr="00534155">
        <w:rPr>
          <w:rFonts w:ascii="Times New Roman" w:eastAsia="MS PMincho" w:hAnsi="Times New Roman" w:cs="Times New Roman"/>
        </w:rPr>
        <w:lastRenderedPageBreak/>
        <w:t>taking and the remainder without consideration of the rezoning that would not have occurred without the project for which</w:t>
      </w:r>
      <w:r w:rsidR="00FC122A">
        <w:rPr>
          <w:rFonts w:ascii="Times New Roman" w:eastAsia="MS PMincho" w:hAnsi="Times New Roman" w:cs="Times New Roman"/>
        </w:rPr>
        <w:t xml:space="preserve"> the condemnation was initiated.</w:t>
      </w:r>
    </w:p>
    <w:p w:rsidR="00FC122A" w:rsidRPr="00031861"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w:t>
      </w:r>
      <w:r>
        <w:rPr>
          <w:rFonts w:ascii="Times New Roman" w:hAnsi="Times New Roman" w:cs="Times New Roman"/>
          <w:b/>
          <w:bCs/>
        </w:rPr>
        <w:tab/>
        <w:t>Louisiana</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Pr>
          <w:rFonts w:ascii="Times New Roman" w:hAnsi="Times New Roman" w:cs="Times New Roman"/>
        </w:rPr>
        <w:tab/>
      </w:r>
      <w:r w:rsidRPr="00534155">
        <w:rPr>
          <w:rFonts w:ascii="Times New Roman" w:hAnsi="Times New Roman" w:cs="Times New Roman"/>
        </w:rPr>
        <w:t xml:space="preserve">In </w:t>
      </w:r>
      <w:r w:rsidRPr="00534155">
        <w:rPr>
          <w:rFonts w:ascii="Times New Roman" w:hAnsi="Times New Roman" w:cs="Times New Roman"/>
          <w:i/>
          <w:iCs/>
        </w:rPr>
        <w:t>Department of Hwys. v. Finkelstein</w:t>
      </w:r>
      <w:r w:rsidRPr="00534155">
        <w:rPr>
          <w:rStyle w:val="FootnoteReference"/>
          <w:rFonts w:ascii="Times New Roman" w:hAnsi="Times New Roman" w:cs="Times New Roman"/>
          <w:vertAlign w:val="superscript"/>
        </w:rPr>
        <w:footnoteReference w:id="157"/>
      </w:r>
      <w:r w:rsidRPr="00534155">
        <w:rPr>
          <w:rFonts w:ascii="Times New Roman" w:hAnsi="Times New Roman" w:cs="Times New Roman"/>
        </w:rPr>
        <w:t>, the Court of Appeals of Louisiana held that zoning changes made after the date of the condemnation, if not the result of the project for which the condemnation was initiated, cannot be considered in offsetting the severance damages to remaining p</w:t>
      </w:r>
      <w:r>
        <w:rPr>
          <w:rFonts w:ascii="Times New Roman" w:hAnsi="Times New Roman" w:cs="Times New Roman"/>
        </w:rPr>
        <w:t>arcels of the defendant’s land.</w:t>
      </w:r>
      <w:r w:rsidRPr="00534155">
        <w:rPr>
          <w:rFonts w:ascii="Times New Roman" w:hAnsi="Times New Roman" w:cs="Times New Roman"/>
        </w:rPr>
        <w:t xml:space="preserve"> In </w:t>
      </w:r>
      <w:r w:rsidRPr="00534155">
        <w:rPr>
          <w:rFonts w:ascii="Times New Roman" w:hAnsi="Times New Roman" w:cs="Times New Roman"/>
          <w:i/>
          <w:iCs/>
        </w:rPr>
        <w:t xml:space="preserve">Finkelstein, </w:t>
      </w:r>
      <w:r w:rsidRPr="00534155">
        <w:rPr>
          <w:rFonts w:ascii="Times New Roman" w:hAnsi="Times New Roman" w:cs="Times New Roman"/>
        </w:rPr>
        <w:t xml:space="preserve">the Court stated that because the taking occurred before January 1, 1975, the rezoning act of 1975 was inapplicable to any determinations of severance damages, and the provisions of </w:t>
      </w:r>
      <w:r>
        <w:rPr>
          <w:rFonts w:ascii="Times New Roman" w:hAnsi="Times New Roman" w:cs="Times New Roman"/>
        </w:rPr>
        <w:t xml:space="preserve">a previous statute applied. </w:t>
      </w:r>
      <w:r w:rsidRPr="00534155">
        <w:rPr>
          <w:rFonts w:ascii="Times New Roman" w:hAnsi="Times New Roman" w:cs="Times New Roman"/>
        </w:rPr>
        <w:t xml:space="preserve">Therefore, according to the </w:t>
      </w:r>
      <w:r>
        <w:rPr>
          <w:rFonts w:ascii="Times New Roman" w:hAnsi="Times New Roman" w:cs="Times New Roman"/>
        </w:rPr>
        <w:t>c</w:t>
      </w:r>
      <w:r w:rsidRPr="00534155">
        <w:rPr>
          <w:rFonts w:ascii="Times New Roman" w:hAnsi="Times New Roman" w:cs="Times New Roman"/>
        </w:rPr>
        <w:t>ourt:</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[S]everance damages are to be determined as of the date of trial. This provision was statutorily intended to specify that damages suffered by the remainder should be reduced by special benefits which result from the completion of the project, it was not intended to deprive the owner of compensation for damages sustained by his property because of a general increase in the value of the land between the taking and the trial.</w:t>
      </w:r>
      <w:r w:rsidRPr="00534155">
        <w:rPr>
          <w:rStyle w:val="FootnoteReference"/>
          <w:rFonts w:ascii="Times New Roman" w:hAnsi="Times New Roman" w:cs="Times New Roman"/>
          <w:vertAlign w:val="superscript"/>
        </w:rPr>
        <w:footnoteReference w:id="158"/>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Pr>
          <w:rFonts w:ascii="Times New Roman" w:hAnsi="Times New Roman" w:cs="Times New Roman"/>
        </w:rPr>
        <w:t xml:space="preserve">Furthermore, the court stated, </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Severance damages are the difference between the before and after values of the remainder less any special benefits to the remainder as a result of the project. Just as general appreciation in land values is not allowed in diminution of severance damages, so too, zoning changes, resulting from causes other than a completed highway project, may not be employed to offset severance damages.</w:t>
      </w:r>
      <w:r w:rsidRPr="00534155">
        <w:rPr>
          <w:rStyle w:val="FootnoteReference"/>
          <w:rFonts w:ascii="Times New Roman" w:hAnsi="Times New Roman" w:cs="Times New Roman"/>
          <w:vertAlign w:val="superscript"/>
        </w:rPr>
        <w:footnoteReference w:id="159"/>
      </w:r>
      <w:r w:rsidRPr="00534155">
        <w:rPr>
          <w:rFonts w:ascii="Times New Roman" w:hAnsi="Times New Roman" w:cs="Times New Roman"/>
        </w:rPr>
        <w:t xml:space="preserve"> </w:t>
      </w: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rPr>
      </w:pPr>
      <w:r w:rsidRPr="00534155">
        <w:rPr>
          <w:rFonts w:ascii="Times New Roman" w:hAnsi="Times New Roman" w:cs="Times New Roman"/>
        </w:rPr>
        <w:t xml:space="preserve">Although the </w:t>
      </w:r>
      <w:r>
        <w:rPr>
          <w:rFonts w:ascii="Times New Roman" w:hAnsi="Times New Roman" w:cs="Times New Roman"/>
        </w:rPr>
        <w:t>c</w:t>
      </w:r>
      <w:r w:rsidRPr="00534155">
        <w:rPr>
          <w:rFonts w:ascii="Times New Roman" w:hAnsi="Times New Roman" w:cs="Times New Roman"/>
        </w:rPr>
        <w:t xml:space="preserve">ourt found that a property owner’s severance damages </w:t>
      </w:r>
      <w:r w:rsidR="00294955" w:rsidRPr="00534155">
        <w:rPr>
          <w:rFonts w:ascii="Times New Roman" w:hAnsi="Times New Roman" w:cs="Times New Roman"/>
        </w:rPr>
        <w:t>might</w:t>
      </w:r>
      <w:r w:rsidRPr="00534155">
        <w:rPr>
          <w:rFonts w:ascii="Times New Roman" w:hAnsi="Times New Roman" w:cs="Times New Roman"/>
        </w:rPr>
        <w:t xml:space="preserve"> be offset by the increase in value of a remainder parcel, the offset can only be applied if the increase in value is a direct result of the project for w</w:t>
      </w:r>
      <w:r>
        <w:rPr>
          <w:rFonts w:ascii="Times New Roman" w:hAnsi="Times New Roman" w:cs="Times New Roman"/>
        </w:rPr>
        <w:t xml:space="preserve">hich the taking was initiated. </w:t>
      </w:r>
      <w:r w:rsidRPr="00534155">
        <w:rPr>
          <w:rFonts w:ascii="Times New Roman" w:hAnsi="Times New Roman" w:cs="Times New Roman"/>
        </w:rPr>
        <w:t xml:space="preserve">If, however, the increase in value is </w:t>
      </w:r>
      <w:r w:rsidRPr="00534155">
        <w:rPr>
          <w:rFonts w:ascii="Times New Roman" w:hAnsi="Times New Roman" w:cs="Times New Roman"/>
        </w:rPr>
        <w:lastRenderedPageBreak/>
        <w:t>the result of a rezoning event that is independent of the project for which the condemnation was initiated,</w:t>
      </w:r>
      <w:r>
        <w:rPr>
          <w:rFonts w:ascii="Times New Roman" w:hAnsi="Times New Roman" w:cs="Times New Roman"/>
        </w:rPr>
        <w:t xml:space="preserve"> then no offset may be applied.</w:t>
      </w:r>
      <w:r w:rsidRPr="00534155">
        <w:rPr>
          <w:rFonts w:ascii="Times New Roman" w:hAnsi="Times New Roman" w:cs="Times New Roman"/>
        </w:rPr>
        <w:t xml:space="preserve"> Because of the </w:t>
      </w:r>
      <w:r>
        <w:rPr>
          <w:rFonts w:ascii="Times New Roman" w:hAnsi="Times New Roman" w:cs="Times New Roman"/>
        </w:rPr>
        <w:t>c</w:t>
      </w:r>
      <w:r w:rsidRPr="00534155">
        <w:rPr>
          <w:rFonts w:ascii="Times New Roman" w:hAnsi="Times New Roman" w:cs="Times New Roman"/>
        </w:rPr>
        <w:t xml:space="preserve">ourt’s concern about the potential for the landowner to lose compensation </w:t>
      </w:r>
      <w:r>
        <w:rPr>
          <w:rFonts w:ascii="Times New Roman" w:hAnsi="Times New Roman" w:cs="Times New Roman"/>
        </w:rPr>
        <w:t>because</w:t>
      </w:r>
      <w:r w:rsidRPr="00534155">
        <w:rPr>
          <w:rFonts w:ascii="Times New Roman" w:hAnsi="Times New Roman" w:cs="Times New Roman"/>
        </w:rPr>
        <w:t xml:space="preserve"> of an independent post-taking zoning change, the Court affirmed the lower court’s decision to exclude the zoning change from consideration when determining the severance damages resulting from the taking.</w:t>
      </w:r>
      <w:r w:rsidRPr="00534155">
        <w:rPr>
          <w:rStyle w:val="FootnoteReference"/>
          <w:rFonts w:ascii="Times New Roman" w:hAnsi="Times New Roman" w:cs="Times New Roman"/>
          <w:vertAlign w:val="superscript"/>
        </w:rPr>
        <w:footnoteReference w:id="160"/>
      </w: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ind w:firstLine="720"/>
        <w:jc w:val="both"/>
        <w:rPr>
          <w:rFonts w:ascii="Times New Roman" w:hAnsi="Times New Roman" w:cs="Times New Roman"/>
        </w:rPr>
      </w:pPr>
      <w:r w:rsidRPr="00534155">
        <w:rPr>
          <w:rFonts w:ascii="Times New Roman" w:hAnsi="Times New Roman" w:cs="Times New Roman"/>
        </w:rPr>
        <w:t xml:space="preserve">As cited in </w:t>
      </w:r>
      <w:r w:rsidRPr="00534155">
        <w:rPr>
          <w:rFonts w:ascii="Times New Roman" w:hAnsi="Times New Roman" w:cs="Times New Roman"/>
          <w:i/>
          <w:iCs/>
        </w:rPr>
        <w:t>Finkelstein</w:t>
      </w:r>
      <w:r w:rsidRPr="00534155">
        <w:rPr>
          <w:rFonts w:ascii="Times New Roman" w:hAnsi="Times New Roman" w:cs="Times New Roman"/>
        </w:rPr>
        <w:t>, the Court of Appeals of Louisiana examined the manner in which severance damages are to be ca</w:t>
      </w:r>
      <w:r>
        <w:rPr>
          <w:rFonts w:ascii="Times New Roman" w:hAnsi="Times New Roman" w:cs="Times New Roman"/>
        </w:rPr>
        <w:t xml:space="preserve">lculated for a partial taking. </w:t>
      </w:r>
      <w:r w:rsidRPr="00534155">
        <w:rPr>
          <w:rFonts w:ascii="Times New Roman" w:hAnsi="Times New Roman" w:cs="Times New Roman"/>
        </w:rPr>
        <w:t xml:space="preserve">In </w:t>
      </w:r>
      <w:r w:rsidRPr="00534155">
        <w:rPr>
          <w:rFonts w:ascii="Times New Roman" w:hAnsi="Times New Roman" w:cs="Times New Roman"/>
          <w:i/>
          <w:iCs/>
        </w:rPr>
        <w:t>Department of Hwys. v. Mayer</w:t>
      </w:r>
      <w:r w:rsidRPr="00C32780">
        <w:rPr>
          <w:rStyle w:val="FootnoteReference"/>
          <w:rFonts w:ascii="Times New Roman" w:hAnsi="Times New Roman" w:cs="Times New Roman"/>
          <w:iCs/>
          <w:vertAlign w:val="superscript"/>
        </w:rPr>
        <w:footnoteReference w:id="161"/>
      </w:r>
      <w:r>
        <w:rPr>
          <w:rFonts w:ascii="Times New Roman" w:hAnsi="Times New Roman" w:cs="Times New Roman"/>
          <w:i/>
          <w:iCs/>
        </w:rPr>
        <w:t>,</w:t>
      </w:r>
      <w:r w:rsidRPr="00534155">
        <w:rPr>
          <w:rFonts w:ascii="Times New Roman" w:hAnsi="Times New Roman" w:cs="Times New Roman"/>
          <w:i/>
          <w:iCs/>
        </w:rPr>
        <w:t xml:space="preserve"> </w:t>
      </w:r>
      <w:r w:rsidRPr="00534155">
        <w:rPr>
          <w:rFonts w:ascii="Times New Roman" w:hAnsi="Times New Roman" w:cs="Times New Roman"/>
        </w:rPr>
        <w:t xml:space="preserve">the </w:t>
      </w:r>
      <w:r>
        <w:rPr>
          <w:rFonts w:ascii="Times New Roman" w:hAnsi="Times New Roman" w:cs="Times New Roman"/>
        </w:rPr>
        <w:t xml:space="preserve">court stated, </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hAnsi="Times New Roman" w:cs="Times New Roman"/>
        </w:rPr>
      </w:pPr>
      <w:r w:rsidRPr="00534155">
        <w:rPr>
          <w:rFonts w:ascii="Times New Roman" w:hAnsi="Times New Roman" w:cs="Times New Roman"/>
        </w:rPr>
        <w:t xml:space="preserve">It has been held that where, as in the case at hand, a zoning change has, in fact, taken place between expropriation and trial, the test must be whether the zoning change resulted from the project involved. </w:t>
      </w:r>
      <w:r w:rsidRPr="00266714">
        <w:rPr>
          <w:rStyle w:val="Hyperlink6"/>
          <w:rFonts w:ascii="Times New Roman" w:hAnsi="Times New Roman" w:cs="Times New Roman"/>
          <w:sz w:val="24"/>
          <w:szCs w:val="24"/>
          <w:u w:val="none"/>
        </w:rPr>
        <w:t>LSA-R.S. 48:453</w:t>
      </w:r>
      <w:r w:rsidRPr="00534155">
        <w:rPr>
          <w:rFonts w:ascii="Times New Roman" w:hAnsi="Times New Roman" w:cs="Times New Roman"/>
        </w:rPr>
        <w:t xml:space="preserve"> provides that severance damages shall be determined as of the time of trial. A literal construction of the statute would dictate consideration of all operative factors existing at the time of trial even though such factors were not present at the time of taking.</w:t>
      </w:r>
      <w:r w:rsidRPr="00534155">
        <w:rPr>
          <w:rStyle w:val="FootnoteReference"/>
          <w:rFonts w:ascii="Times New Roman" w:hAnsi="Times New Roman" w:cs="Times New Roman"/>
          <w:vertAlign w:val="superscript"/>
        </w:rPr>
        <w:footnoteReference w:id="162"/>
      </w:r>
    </w:p>
    <w:p w:rsidR="00FC122A" w:rsidRPr="00534155" w:rsidRDefault="00FC122A" w:rsidP="00FC122A">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rPr>
      </w:pPr>
      <w:r>
        <w:rPr>
          <w:rFonts w:ascii="Times New Roman" w:hAnsi="Times New Roman" w:cs="Times New Roman"/>
        </w:rPr>
        <w:t>However, the c</w:t>
      </w:r>
      <w:r w:rsidRPr="00534155">
        <w:rPr>
          <w:rFonts w:ascii="Times New Roman" w:hAnsi="Times New Roman" w:cs="Times New Roman"/>
        </w:rPr>
        <w:t xml:space="preserve">ourt </w:t>
      </w:r>
      <w:r w:rsidR="00294955" w:rsidRPr="00534155">
        <w:rPr>
          <w:rFonts w:ascii="Times New Roman" w:hAnsi="Times New Roman" w:cs="Times New Roman"/>
        </w:rPr>
        <w:t>noted,</w:t>
      </w:r>
      <w:r w:rsidRPr="00534155">
        <w:rPr>
          <w:rFonts w:ascii="Times New Roman" w:hAnsi="Times New Roman" w:cs="Times New Roman"/>
        </w:rPr>
        <w:t xml:space="preserve"> “Such a rigid interpretation was rejected in </w:t>
      </w:r>
      <w:r w:rsidRPr="00534155">
        <w:rPr>
          <w:rStyle w:val="Hyperlink6"/>
          <w:rFonts w:ascii="Times New Roman" w:hAnsi="Times New Roman" w:cs="Times New Roman"/>
          <w:i/>
          <w:iCs/>
          <w:sz w:val="24"/>
          <w:szCs w:val="24"/>
          <w:u w:val="none"/>
        </w:rPr>
        <w:t>Department of H</w:t>
      </w:r>
      <w:r>
        <w:rPr>
          <w:rStyle w:val="Hyperlink6"/>
          <w:rFonts w:ascii="Times New Roman" w:hAnsi="Times New Roman" w:cs="Times New Roman"/>
          <w:i/>
          <w:iCs/>
          <w:sz w:val="24"/>
          <w:szCs w:val="24"/>
          <w:u w:val="none"/>
        </w:rPr>
        <w:t xml:space="preserve">wys. </w:t>
      </w:r>
      <w:r w:rsidRPr="00534155">
        <w:rPr>
          <w:rStyle w:val="Hyperlink6"/>
          <w:rFonts w:ascii="Times New Roman" w:hAnsi="Times New Roman" w:cs="Times New Roman"/>
          <w:i/>
          <w:iCs/>
          <w:sz w:val="24"/>
          <w:szCs w:val="24"/>
          <w:u w:val="none"/>
        </w:rPr>
        <w:t>v. William T. Burton Industries</w:t>
      </w:r>
      <w:r w:rsidRPr="00534155">
        <w:rPr>
          <w:rStyle w:val="Hyperlink6"/>
          <w:rFonts w:ascii="Times New Roman" w:hAnsi="Times New Roman" w:cs="Times New Roman"/>
          <w:sz w:val="24"/>
          <w:szCs w:val="24"/>
          <w:u w:val="none"/>
        </w:rPr>
        <w:t>.”</w:t>
      </w:r>
      <w:r w:rsidRPr="00534155">
        <w:rPr>
          <w:rStyle w:val="FootnoteReference"/>
          <w:rFonts w:ascii="Times New Roman" w:hAnsi="Times New Roman" w:cs="Times New Roman"/>
          <w:vertAlign w:val="superscript"/>
        </w:rPr>
        <w:footnoteReference w:id="163"/>
      </w:r>
      <w:r>
        <w:rPr>
          <w:rFonts w:ascii="Times New Roman" w:hAnsi="Times New Roman" w:cs="Times New Roman"/>
        </w:rPr>
        <w:t xml:space="preserve"> </w:t>
      </w:r>
      <w:r w:rsidRPr="00534155">
        <w:rPr>
          <w:rFonts w:ascii="Times New Roman" w:hAnsi="Times New Roman" w:cs="Times New Roman"/>
        </w:rPr>
        <w:t xml:space="preserve">In </w:t>
      </w:r>
      <w:r w:rsidRPr="00534155">
        <w:rPr>
          <w:rFonts w:ascii="Times New Roman" w:hAnsi="Times New Roman" w:cs="Times New Roman"/>
          <w:i/>
          <w:iCs/>
        </w:rPr>
        <w:t>Burton Industries</w:t>
      </w:r>
      <w:r w:rsidRPr="00534155">
        <w:rPr>
          <w:rFonts w:ascii="Times New Roman" w:hAnsi="Times New Roman" w:cs="Times New Roman"/>
        </w:rPr>
        <w:t xml:space="preserve">, there was a delay of seven years between the date of the taking and the trial, and regarding the fixing of severance damages the </w:t>
      </w:r>
      <w:r w:rsidRPr="00534155">
        <w:rPr>
          <w:rFonts w:ascii="Times New Roman" w:hAnsi="Times New Roman" w:cs="Times New Roman"/>
          <w:i/>
          <w:iCs/>
        </w:rPr>
        <w:t xml:space="preserve">Mayer </w:t>
      </w:r>
      <w:r w:rsidRPr="00534155">
        <w:rPr>
          <w:rFonts w:ascii="Times New Roman" w:hAnsi="Times New Roman" w:cs="Times New Roman"/>
        </w:rPr>
        <w:t xml:space="preserve">Court cited </w:t>
      </w:r>
      <w:r w:rsidRPr="00534155">
        <w:rPr>
          <w:rFonts w:ascii="Times New Roman" w:hAnsi="Times New Roman" w:cs="Times New Roman"/>
          <w:i/>
          <w:iCs/>
        </w:rPr>
        <w:t xml:space="preserve">Burton Industries, </w:t>
      </w:r>
      <w:r w:rsidRPr="00534155">
        <w:rPr>
          <w:rFonts w:ascii="Times New Roman" w:hAnsi="Times New Roman" w:cs="Times New Roman"/>
        </w:rPr>
        <w:t>which held that:</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In our view, however, the provision that severance damages be valued as of the date of the trial was statutorily intended to specify that the damages the remainder suffers should be reduced by special benefits which result to it from the completion of the highway construction, not to deprive the landowner of compensation for damages sustained by his tract because of any general increase in the value of land between the taking and the trial. We do not believe that the legislature intended to deprive a landowner of damages to his property undoubtedly caused him by the taking, simply because -- in the long interval between the taking itself and the subsequent completion of the long-term major highway construction project -- his property had increased in value due to generally improved economic conditions, </w:t>
      </w:r>
      <w:r w:rsidRPr="00534155">
        <w:rPr>
          <w:rFonts w:ascii="Times New Roman" w:hAnsi="Times New Roman" w:cs="Times New Roman"/>
        </w:rPr>
        <w:lastRenderedPageBreak/>
        <w:t>along with all lands in the area (and, probably, most other lands in the entire State).</w:t>
      </w:r>
      <w:r w:rsidRPr="00534155">
        <w:rPr>
          <w:rStyle w:val="FootnoteReference"/>
          <w:rFonts w:ascii="Times New Roman" w:hAnsi="Times New Roman" w:cs="Times New Roman"/>
          <w:vertAlign w:val="superscript"/>
        </w:rPr>
        <w:footnoteReference w:id="164"/>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Regarding the admissibility of post-taking evidence of rezoning as a justification for reduced severance damages, the Court held that:</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 xml:space="preserve">The Department's request for a remand to show a rezoning of subject property to Commercial classification following the time of trial must be denied. </w:t>
      </w:r>
      <w:r w:rsidRPr="00534155">
        <w:rPr>
          <w:rFonts w:ascii="Times New Roman" w:hAnsi="Times New Roman" w:cs="Times New Roman"/>
          <w:i/>
          <w:iCs/>
        </w:rPr>
        <w:t>We believe the legislature has wisely and properly restricted proof of damages in these cases to such reasonable possibilities as exist at the time of taking, as reflected by the circumstances existing at the time of trial</w:t>
      </w:r>
      <w:r w:rsidRPr="00534155">
        <w:rPr>
          <w:rFonts w:ascii="Times New Roman" w:hAnsi="Times New Roman" w:cs="Times New Roman"/>
        </w:rPr>
        <w:t xml:space="preserve">. To remand at this point would only lead to the possibility of a request for a subsequent remand based upon </w:t>
      </w:r>
      <w:r w:rsidR="00294955" w:rsidRPr="00534155">
        <w:rPr>
          <w:rFonts w:ascii="Times New Roman" w:hAnsi="Times New Roman" w:cs="Times New Roman"/>
        </w:rPr>
        <w:t>circumstances that</w:t>
      </w:r>
      <w:r w:rsidRPr="00534155">
        <w:rPr>
          <w:rFonts w:ascii="Times New Roman" w:hAnsi="Times New Roman" w:cs="Times New Roman"/>
        </w:rPr>
        <w:t xml:space="preserve"> have occurred since trial upon the initial remand. Such a situation would be intolerable. Every matter must have a terminal point. For the reasons stated, we cannot consider the </w:t>
      </w:r>
      <w:r w:rsidR="00294955" w:rsidRPr="00534155">
        <w:rPr>
          <w:rFonts w:ascii="Times New Roman" w:hAnsi="Times New Roman" w:cs="Times New Roman"/>
        </w:rPr>
        <w:t>leases, which</w:t>
      </w:r>
      <w:r w:rsidRPr="00534155">
        <w:rPr>
          <w:rFonts w:ascii="Times New Roman" w:hAnsi="Times New Roman" w:cs="Times New Roman"/>
        </w:rPr>
        <w:t xml:space="preserve"> the Department has attached to its motion to remand.</w:t>
      </w:r>
      <w:r w:rsidRPr="00534155">
        <w:rPr>
          <w:rStyle w:val="FootnoteReference"/>
          <w:rFonts w:ascii="Times New Roman" w:hAnsi="Times New Roman" w:cs="Times New Roman"/>
          <w:vertAlign w:val="superscript"/>
        </w:rPr>
        <w:footnoteReference w:id="165"/>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sidRPr="00534155">
        <w:rPr>
          <w:rFonts w:ascii="Times New Roman" w:hAnsi="Times New Roman" w:cs="Times New Roman"/>
        </w:rPr>
        <w:t xml:space="preserve">Following the original Appellate hearing in </w:t>
      </w:r>
      <w:r w:rsidRPr="00534155">
        <w:rPr>
          <w:rFonts w:ascii="Times New Roman" w:hAnsi="Times New Roman" w:cs="Times New Roman"/>
          <w:i/>
          <w:iCs/>
        </w:rPr>
        <w:t>Mayer</w:t>
      </w:r>
      <w:r w:rsidRPr="00534155">
        <w:rPr>
          <w:rFonts w:ascii="Times New Roman" w:hAnsi="Times New Roman" w:cs="Times New Roman"/>
        </w:rPr>
        <w:t xml:space="preserve">, the case was heard </w:t>
      </w:r>
      <w:r w:rsidRPr="00534155">
        <w:rPr>
          <w:rFonts w:ascii="Times New Roman" w:hAnsi="Times New Roman" w:cs="Times New Roman"/>
          <w:i/>
          <w:iCs/>
        </w:rPr>
        <w:t>en banc</w:t>
      </w:r>
      <w:r w:rsidRPr="00534155">
        <w:rPr>
          <w:rFonts w:ascii="Times New Roman" w:hAnsi="Times New Roman" w:cs="Times New Roman"/>
        </w:rPr>
        <w:t xml:space="preserve"> by the Court of Appeals, </w:t>
      </w:r>
      <w:r>
        <w:rPr>
          <w:rFonts w:ascii="Times New Roman" w:hAnsi="Times New Roman" w:cs="Times New Roman"/>
        </w:rPr>
        <w:t>and the court noted,</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In determining severance damages when there has been a partial taking, we must first find the value of the entire tract as it was prior to the taking and without considering the effect of the improvement. Next, the value of the remainder, immediately after the taking as enhanced or damaged by the taking must be found. If any part of the enhancement or damage is general as to all properties similarly situated, such part may not be considered in arriving at the "after" value of the remainder. To the after value, so determined, must be added the compensation paid for the part taken. If the sum of these two is less than the before value, the difference is the severance damage suffered by the property.</w:t>
      </w:r>
      <w:r w:rsidRPr="00534155">
        <w:rPr>
          <w:rStyle w:val="FootnoteReference"/>
          <w:rFonts w:ascii="Times New Roman" w:hAnsi="Times New Roman" w:cs="Times New Roman"/>
          <w:vertAlign w:val="superscript"/>
        </w:rPr>
        <w:footnoteReference w:id="166"/>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jc w:val="both"/>
        <w:rPr>
          <w:rFonts w:ascii="Times New Roman" w:hAnsi="Times New Roman" w:cs="Times New Roman"/>
        </w:rPr>
      </w:pPr>
      <w:r w:rsidRPr="00534155">
        <w:rPr>
          <w:rFonts w:ascii="Times New Roman" w:hAnsi="Times New Roman" w:cs="Times New Roman"/>
        </w:rPr>
        <w:t xml:space="preserve">In addressing the </w:t>
      </w:r>
      <w:r w:rsidR="00294955" w:rsidRPr="00534155">
        <w:rPr>
          <w:rFonts w:ascii="Times New Roman" w:hAnsi="Times New Roman" w:cs="Times New Roman"/>
        </w:rPr>
        <w:t>benefit-offset</w:t>
      </w:r>
      <w:r w:rsidRPr="00534155">
        <w:rPr>
          <w:rFonts w:ascii="Times New Roman" w:hAnsi="Times New Roman" w:cs="Times New Roman"/>
        </w:rPr>
        <w:t xml:space="preserve"> </w:t>
      </w:r>
      <w:r w:rsidR="00294955" w:rsidRPr="00534155">
        <w:rPr>
          <w:rFonts w:ascii="Times New Roman" w:hAnsi="Times New Roman" w:cs="Times New Roman"/>
        </w:rPr>
        <w:t>principle, which</w:t>
      </w:r>
      <w:r w:rsidRPr="00534155">
        <w:rPr>
          <w:rFonts w:ascii="Times New Roman" w:hAnsi="Times New Roman" w:cs="Times New Roman"/>
        </w:rPr>
        <w:t xml:space="preserve"> would later be applied in </w:t>
      </w:r>
      <w:r w:rsidRPr="00534155">
        <w:rPr>
          <w:rFonts w:ascii="Times New Roman" w:hAnsi="Times New Roman" w:cs="Times New Roman"/>
          <w:i/>
          <w:iCs/>
        </w:rPr>
        <w:t>Finkelstein</w:t>
      </w:r>
      <w:r>
        <w:rPr>
          <w:rFonts w:ascii="Times New Roman" w:hAnsi="Times New Roman" w:cs="Times New Roman"/>
        </w:rPr>
        <w:t>, the Court stated that,</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If, at the time of the trial, the Department is able to prove that the property has enjoyed special benefits as the result of the improvement, these may be offset against the severance damages. General benefits, such as are common to all properties similarly situated, or which have resulted from economic expansion, may not be used to offset severance damages.</w:t>
      </w:r>
      <w:r w:rsidRPr="00534155">
        <w:rPr>
          <w:rStyle w:val="FootnoteReference"/>
          <w:rFonts w:ascii="Times New Roman" w:hAnsi="Times New Roman" w:cs="Times New Roman"/>
          <w:vertAlign w:val="superscript"/>
        </w:rPr>
        <w:footnoteReference w:id="167"/>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rPr>
      </w:pPr>
      <w:r w:rsidRPr="00534155">
        <w:rPr>
          <w:rFonts w:ascii="Times New Roman" w:hAnsi="Times New Roman" w:cs="Times New Roman"/>
        </w:rPr>
        <w:t xml:space="preserve">The </w:t>
      </w:r>
      <w:r>
        <w:rPr>
          <w:rFonts w:ascii="Times New Roman" w:hAnsi="Times New Roman" w:cs="Times New Roman"/>
        </w:rPr>
        <w:t>c</w:t>
      </w:r>
      <w:r w:rsidRPr="00534155">
        <w:rPr>
          <w:rFonts w:ascii="Times New Roman" w:hAnsi="Times New Roman" w:cs="Times New Roman"/>
        </w:rPr>
        <w:t>ourt thus decided that although severance damages can be offset by benefits conferred by the project, benefits coming from a general appreciation of land values between the taking and the trial shall not be employed to reduce the government’s burden and to deprive the l</w:t>
      </w:r>
      <w:r>
        <w:rPr>
          <w:rFonts w:ascii="Times New Roman" w:hAnsi="Times New Roman" w:cs="Times New Roman"/>
        </w:rPr>
        <w:t xml:space="preserve">andowner of just compensation. </w:t>
      </w:r>
      <w:r w:rsidRPr="00534155">
        <w:rPr>
          <w:rFonts w:ascii="Times New Roman" w:hAnsi="Times New Roman" w:cs="Times New Roman"/>
        </w:rPr>
        <w:t>For this reason, the Court refused to admit evidence of post-taking rezoning, amended the damages, and affirmed the trial court’s decision.</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b/>
          <w:bCs/>
        </w:rPr>
      </w:pPr>
      <w:r>
        <w:rPr>
          <w:rFonts w:ascii="Times New Roman" w:eastAsia="MS PMincho" w:hAnsi="Times New Roman" w:cs="Times New Roman"/>
          <w:b/>
          <w:bCs/>
        </w:rPr>
        <w:tab/>
      </w:r>
      <w:r>
        <w:rPr>
          <w:rFonts w:ascii="Times New Roman" w:eastAsia="MS PMincho" w:hAnsi="Times New Roman" w:cs="Times New Roman"/>
          <w:b/>
          <w:bCs/>
        </w:rPr>
        <w:tab/>
      </w:r>
      <w:r>
        <w:rPr>
          <w:rFonts w:ascii="Times New Roman" w:eastAsia="MS PMincho" w:hAnsi="Times New Roman" w:cs="Times New Roman"/>
          <w:b/>
          <w:bCs/>
        </w:rPr>
        <w:tab/>
        <w:t>e.</w:t>
      </w:r>
      <w:r w:rsidRPr="00534155">
        <w:rPr>
          <w:rFonts w:ascii="Times New Roman" w:eastAsia="MS PMincho" w:hAnsi="Times New Roman" w:cs="Times New Roman"/>
          <w:b/>
          <w:bCs/>
        </w:rPr>
        <w:tab/>
        <w:t>Missouri</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Another case involving the issue of post-taking rezoning in appraising the value of a parcel of property was raised in </w:t>
      </w:r>
      <w:r w:rsidRPr="00534155">
        <w:rPr>
          <w:rFonts w:ascii="Times New Roman" w:eastAsia="MS PMincho" w:hAnsi="Times New Roman" w:cs="Times New Roman"/>
          <w:i/>
          <w:iCs/>
        </w:rPr>
        <w:t>Union Electric Co. v. McNulty</w:t>
      </w:r>
      <w:r w:rsidRPr="00534155">
        <w:rPr>
          <w:rFonts w:ascii="Times New Roman" w:eastAsia="MS PMincho" w:hAnsi="Times New Roman" w:cs="Times New Roman"/>
        </w:rPr>
        <w:t>.</w:t>
      </w:r>
      <w:r w:rsidRPr="00534155">
        <w:rPr>
          <w:rStyle w:val="FootnoteReference"/>
          <w:rFonts w:ascii="Times New Roman" w:eastAsia="MS PMincho" w:hAnsi="Times New Roman" w:cs="Times New Roman"/>
          <w:vertAlign w:val="superscript"/>
        </w:rPr>
        <w:footnoteReference w:id="168"/>
      </w:r>
      <w:r w:rsidR="006C5CD5">
        <w:rPr>
          <w:rFonts w:ascii="Times New Roman" w:eastAsia="MS PMincho" w:hAnsi="Times New Roman" w:cs="Times New Roman"/>
        </w:rPr>
        <w:t xml:space="preserve"> </w:t>
      </w:r>
      <w:r w:rsidRPr="00534155">
        <w:rPr>
          <w:rFonts w:ascii="Times New Roman" w:eastAsia="MS PMincho" w:hAnsi="Times New Roman" w:cs="Times New Roman"/>
        </w:rPr>
        <w:t xml:space="preserve">In </w:t>
      </w:r>
      <w:r w:rsidRPr="00534155">
        <w:rPr>
          <w:rFonts w:ascii="Times New Roman" w:eastAsia="MS PMincho" w:hAnsi="Times New Roman" w:cs="Times New Roman"/>
          <w:i/>
          <w:iCs/>
        </w:rPr>
        <w:t>Union Electric</w:t>
      </w:r>
      <w:r w:rsidRPr="00534155">
        <w:rPr>
          <w:rFonts w:ascii="Times New Roman" w:eastAsia="MS PMincho" w:hAnsi="Times New Roman" w:cs="Times New Roman"/>
        </w:rPr>
        <w:t>, the Supreme Court of Missouri heard the property owner’s appeal of a motion for a new trial that had b</w:t>
      </w:r>
      <w:r w:rsidR="006C5CD5">
        <w:rPr>
          <w:rFonts w:ascii="Times New Roman" w:eastAsia="MS PMincho" w:hAnsi="Times New Roman" w:cs="Times New Roman"/>
        </w:rPr>
        <w:t>een granted by the trial court.</w:t>
      </w:r>
      <w:r w:rsidRPr="00534155">
        <w:rPr>
          <w:rFonts w:ascii="Times New Roman" w:eastAsia="MS PMincho" w:hAnsi="Times New Roman" w:cs="Times New Roman"/>
        </w:rPr>
        <w:t xml:space="preserve"> The condemning authority believed that jury’s damage award to be against the weight of the evidence, and the</w:t>
      </w:r>
      <w:r w:rsidR="006C5CD5">
        <w:rPr>
          <w:rFonts w:ascii="Times New Roman" w:eastAsia="MS PMincho" w:hAnsi="Times New Roman" w:cs="Times New Roman"/>
        </w:rPr>
        <w:t xml:space="preserve"> court</w:t>
      </w:r>
      <w:r w:rsidRPr="00534155">
        <w:rPr>
          <w:rFonts w:ascii="Times New Roman" w:eastAsia="MS PMincho" w:hAnsi="Times New Roman" w:cs="Times New Roman"/>
        </w:rPr>
        <w:t xml:space="preserve"> affirmed the motion, finding that it was inappropriate for the appellant’s witness to value the property based on industrial use when no such use existed in the area, nor was in demand in the area.</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In </w:t>
      </w:r>
      <w:r w:rsidRPr="00534155">
        <w:rPr>
          <w:rFonts w:ascii="Times New Roman" w:eastAsia="MS PMincho" w:hAnsi="Times New Roman" w:cs="Times New Roman"/>
          <w:i/>
          <w:iCs/>
        </w:rPr>
        <w:t>Union Electric</w:t>
      </w:r>
      <w:r w:rsidRPr="00534155">
        <w:rPr>
          <w:rFonts w:ascii="Times New Roman" w:eastAsia="MS PMincho" w:hAnsi="Times New Roman" w:cs="Times New Roman"/>
        </w:rPr>
        <w:t xml:space="preserve">, the condemnor paid the damages assessed into court on October 30, 1959, and then on November 2, 1959, the </w:t>
      </w:r>
      <w:r w:rsidR="006C5CD5">
        <w:rPr>
          <w:rFonts w:ascii="Times New Roman" w:eastAsia="MS PMincho" w:hAnsi="Times New Roman" w:cs="Times New Roman"/>
        </w:rPr>
        <w:t>count court</w:t>
      </w:r>
      <w:r w:rsidRPr="00534155">
        <w:rPr>
          <w:rFonts w:ascii="Times New Roman" w:eastAsia="MS PMincho" w:hAnsi="Times New Roman" w:cs="Times New Roman"/>
        </w:rPr>
        <w:t xml:space="preserve"> adopted a zoning map a</w:t>
      </w:r>
      <w:r w:rsidR="006C5CD5">
        <w:rPr>
          <w:rFonts w:ascii="Times New Roman" w:eastAsia="MS PMincho" w:hAnsi="Times New Roman" w:cs="Times New Roman"/>
        </w:rPr>
        <w:t xml:space="preserve">nd regulations for the county. </w:t>
      </w:r>
      <w:r w:rsidRPr="00534155">
        <w:rPr>
          <w:rFonts w:ascii="Times New Roman" w:eastAsia="MS PMincho" w:hAnsi="Times New Roman" w:cs="Times New Roman"/>
        </w:rPr>
        <w:t xml:space="preserve">The zoning provisions, however, </w:t>
      </w:r>
      <w:r w:rsidR="006C5CD5">
        <w:rPr>
          <w:rFonts w:ascii="Times New Roman" w:eastAsia="MS PMincho" w:hAnsi="Times New Roman" w:cs="Times New Roman"/>
        </w:rPr>
        <w:t>were not entered into evidence.</w:t>
      </w:r>
      <w:r w:rsidRPr="00534155">
        <w:rPr>
          <w:rFonts w:ascii="Times New Roman" w:eastAsia="MS PMincho" w:hAnsi="Times New Roman" w:cs="Times New Roman"/>
        </w:rPr>
        <w:t xml:space="preserve"> </w:t>
      </w:r>
      <w:r w:rsidR="00294955">
        <w:rPr>
          <w:rFonts w:ascii="Times New Roman" w:eastAsia="MS PMincho" w:hAnsi="Times New Roman" w:cs="Times New Roman"/>
        </w:rPr>
        <w:t>Instead, the a</w:t>
      </w:r>
      <w:r w:rsidR="00294955" w:rsidRPr="00534155">
        <w:rPr>
          <w:rFonts w:ascii="Times New Roman" w:eastAsia="MS PMincho" w:hAnsi="Times New Roman" w:cs="Times New Roman"/>
        </w:rPr>
        <w:t>ppellants contended that the highest and best use was for heavy and light industry, and their experts testified to that effect</w:t>
      </w:r>
      <w:r w:rsidR="00294955">
        <w:rPr>
          <w:rFonts w:ascii="Times New Roman" w:eastAsia="MS PMincho" w:hAnsi="Times New Roman" w:cs="Times New Roman"/>
        </w:rPr>
        <w:t xml:space="preserve">. </w:t>
      </w:r>
      <w:r w:rsidRPr="00534155">
        <w:rPr>
          <w:rFonts w:ascii="Times New Roman" w:eastAsia="MS PMincho" w:hAnsi="Times New Roman" w:cs="Times New Roman"/>
        </w:rPr>
        <w:t>The trial court found error in the fact that the Appellants had no evidence that the land in question was suitable for industrial use, nor was there evidence that there was demand in the area for such use</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Indeed, the Appellant’s expert witness admitted that no such uses were anywhere in the area.</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In affirming the trial court’s grant of a new trial, the Court stated that:</w:t>
      </w:r>
    </w:p>
    <w:p w:rsidR="00FC122A" w:rsidRPr="00534155" w:rsidRDefault="00FC122A" w:rsidP="006C5CD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eastAsia="MS PMincho" w:hAnsi="Times New Roman" w:cs="Times New Roman"/>
        </w:rPr>
      </w:pPr>
      <w:r w:rsidRPr="00534155">
        <w:rPr>
          <w:rFonts w:ascii="Times New Roman" w:eastAsia="MS PMincho" w:hAnsi="Times New Roman" w:cs="Times New Roman"/>
        </w:rPr>
        <w:lastRenderedPageBreak/>
        <w:t>In determining the uses of which the property is capable, it is necessary to have regard to the existing business or wants of the community or such as may reasonably be expected in the immediate future. This means only that the fact of the property's capability or adaptability to the use may be considered as an element of its present value. Mere speculative uses cannot be considered. There must be some probability that the land would be used within a reasonable time for the particular use to which it is adapted. The adaptability of the land for a particular purpose is immaterial unless the present market value is enhanced thereby. There must be a present demand for the land for such purpose or a reasonable expectation of such demand in the near future.</w:t>
      </w:r>
      <w:r w:rsidRPr="00534155">
        <w:rPr>
          <w:rStyle w:val="FootnoteReference"/>
          <w:rFonts w:ascii="Times New Roman" w:eastAsia="MS PMincho" w:hAnsi="Times New Roman" w:cs="Times New Roman"/>
          <w:vertAlign w:val="superscript"/>
        </w:rPr>
        <w:footnoteReference w:id="169"/>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MS PMincho" w:hAnsi="Times New Roman" w:cs="Times New Roman"/>
        </w:rPr>
      </w:pPr>
    </w:p>
    <w:p w:rsidR="00FC122A"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 xml:space="preserve">Thus according to the </w:t>
      </w:r>
      <w:r w:rsidRPr="00534155">
        <w:rPr>
          <w:rFonts w:ascii="Times New Roman" w:eastAsia="MS PMincho" w:hAnsi="Times New Roman" w:cs="Times New Roman"/>
          <w:i/>
          <w:iCs/>
        </w:rPr>
        <w:t>Union Electric</w:t>
      </w:r>
      <w:r w:rsidRPr="00534155">
        <w:rPr>
          <w:rFonts w:ascii="Times New Roman" w:eastAsia="MS PMincho" w:hAnsi="Times New Roman" w:cs="Times New Roman"/>
        </w:rPr>
        <w:t xml:space="preserve"> Court, the lack of evidence of the proposed highest and best use was too speculative to justify the jury award, and t</w:t>
      </w:r>
      <w:r w:rsidR="006C5CD5">
        <w:rPr>
          <w:rFonts w:ascii="Times New Roman" w:eastAsia="MS PMincho" w:hAnsi="Times New Roman" w:cs="Times New Roman"/>
        </w:rPr>
        <w:t xml:space="preserve">hus a new trial was warranted. </w:t>
      </w:r>
      <w:r w:rsidRPr="00534155">
        <w:rPr>
          <w:rFonts w:ascii="Times New Roman" w:eastAsia="MS PMincho" w:hAnsi="Times New Roman" w:cs="Times New Roman"/>
        </w:rPr>
        <w:t>Even though the zoning had changed soon after the deposit of the funds, the zoning change was not admitted into evidence, and was thus unavailable to support the Appellant’s expert witness testimony.</w:t>
      </w:r>
    </w:p>
    <w:p w:rsidR="00FC122A" w:rsidRDefault="006C5CD5" w:rsidP="00BA4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Pr>
          <w:rFonts w:ascii="Times New Roman" w:eastAsia="MS PMincho" w:hAnsi="Times New Roman" w:cs="Times New Roman"/>
        </w:rPr>
        <w:tab/>
        <w:t xml:space="preserve">However, in </w:t>
      </w:r>
      <w:r w:rsidR="00FC122A" w:rsidRPr="005E0F47">
        <w:rPr>
          <w:rFonts w:ascii="Times New Roman" w:hAnsi="Times New Roman" w:cs="Times New Roman"/>
          <w:i/>
        </w:rPr>
        <w:t>Kansas City Power &amp; Light Co. v. Jenkins</w:t>
      </w:r>
      <w:r w:rsidRPr="006C5CD5">
        <w:rPr>
          <w:rStyle w:val="FootnoteReference"/>
          <w:rFonts w:ascii="Times New Roman" w:hAnsi="Times New Roman" w:cs="Times New Roman"/>
          <w:i/>
          <w:vertAlign w:val="superscript"/>
        </w:rPr>
        <w:footnoteReference w:id="170"/>
      </w:r>
      <w:r w:rsidR="00FC122A" w:rsidRPr="005E0F47">
        <w:rPr>
          <w:rFonts w:ascii="Times New Roman" w:hAnsi="Times New Roman" w:cs="Times New Roman"/>
          <w:i/>
        </w:rPr>
        <w:t xml:space="preserve">, </w:t>
      </w:r>
      <w:r>
        <w:rPr>
          <w:rFonts w:ascii="Times New Roman" w:hAnsi="Times New Roman" w:cs="Times New Roman"/>
        </w:rPr>
        <w:t xml:space="preserve">the Missouri Court of Appeals held that </w:t>
      </w:r>
      <w:r w:rsidR="00FC122A" w:rsidRPr="005E0F47">
        <w:rPr>
          <w:rFonts w:ascii="Times New Roman" w:hAnsi="Times New Roman" w:cs="Times New Roman"/>
        </w:rPr>
        <w:t xml:space="preserve">evidence of </w:t>
      </w:r>
      <w:r>
        <w:rPr>
          <w:rFonts w:ascii="Times New Roman" w:hAnsi="Times New Roman" w:cs="Times New Roman"/>
        </w:rPr>
        <w:t xml:space="preserve">the </w:t>
      </w:r>
      <w:r w:rsidR="00FC122A" w:rsidRPr="005E0F47">
        <w:rPr>
          <w:rFonts w:ascii="Times New Roman" w:hAnsi="Times New Roman" w:cs="Times New Roman"/>
        </w:rPr>
        <w:t xml:space="preserve">condemnor’s proposed rezoning </w:t>
      </w:r>
      <w:r>
        <w:rPr>
          <w:rFonts w:ascii="Times New Roman" w:hAnsi="Times New Roman" w:cs="Times New Roman"/>
        </w:rPr>
        <w:t xml:space="preserve">was </w:t>
      </w:r>
      <w:r w:rsidR="00FC122A" w:rsidRPr="005E0F47">
        <w:rPr>
          <w:rFonts w:ascii="Times New Roman" w:hAnsi="Times New Roman" w:cs="Times New Roman"/>
        </w:rPr>
        <w:t xml:space="preserve">admissible to show enhanced value of property, because </w:t>
      </w:r>
      <w:r>
        <w:rPr>
          <w:rFonts w:ascii="Times New Roman" w:hAnsi="Times New Roman" w:cs="Times New Roman"/>
        </w:rPr>
        <w:t xml:space="preserve">the </w:t>
      </w:r>
      <w:r w:rsidR="00FC122A" w:rsidRPr="005E0F47">
        <w:rPr>
          <w:rFonts w:ascii="Times New Roman" w:hAnsi="Times New Roman" w:cs="Times New Roman"/>
        </w:rPr>
        <w:t>rezoning was not specif</w:t>
      </w:r>
      <w:r>
        <w:rPr>
          <w:rFonts w:ascii="Times New Roman" w:hAnsi="Times New Roman" w:cs="Times New Roman"/>
        </w:rPr>
        <w:t>ically related to the project. In other words, evidence of rezoning is admissible if the scope-of-the-project rule does not apply.</w:t>
      </w:r>
      <w:r w:rsidR="00FC122A">
        <w:rPr>
          <w:rFonts w:ascii="Times New Roman" w:eastAsia="MS PMincho" w:hAnsi="Times New Roman" w:cs="Times New Roman"/>
          <w:b/>
          <w:bCs/>
        </w:rPr>
        <w:tab/>
      </w:r>
      <w:r w:rsidR="00FC122A">
        <w:rPr>
          <w:rFonts w:ascii="Times New Roman" w:hAnsi="Times New Roman" w:cs="Times New Roman"/>
        </w:rPr>
        <w:t xml:space="preserve"> </w:t>
      </w:r>
    </w:p>
    <w:p w:rsidR="00FC122A" w:rsidRPr="00534155" w:rsidRDefault="00BA4975"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2160"/>
        <w:jc w:val="both"/>
        <w:rPr>
          <w:rFonts w:ascii="Times New Roman" w:hAnsi="Times New Roman" w:cs="Times New Roman"/>
          <w:b/>
          <w:bCs/>
        </w:rPr>
      </w:pPr>
      <w:r>
        <w:rPr>
          <w:rFonts w:ascii="Times New Roman" w:hAnsi="Times New Roman" w:cs="Times New Roman"/>
          <w:b/>
          <w:bCs/>
        </w:rPr>
        <w:t>f</w:t>
      </w:r>
      <w:r w:rsidR="00FC122A">
        <w:rPr>
          <w:rFonts w:ascii="Times New Roman" w:hAnsi="Times New Roman" w:cs="Times New Roman"/>
          <w:b/>
          <w:bCs/>
        </w:rPr>
        <w:t>.</w:t>
      </w:r>
      <w:r w:rsidR="00FC122A" w:rsidRPr="00534155">
        <w:rPr>
          <w:rFonts w:ascii="Times New Roman" w:hAnsi="Times New Roman" w:cs="Times New Roman"/>
          <w:b/>
          <w:bCs/>
        </w:rPr>
        <w:tab/>
        <w:t>Colorado</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sidRPr="00534155">
        <w:rPr>
          <w:rFonts w:ascii="Times New Roman" w:hAnsi="Times New Roman" w:cs="Times New Roman"/>
        </w:rPr>
        <w:t xml:space="preserve">In </w:t>
      </w:r>
      <w:r w:rsidRPr="00534155">
        <w:rPr>
          <w:rFonts w:ascii="Times New Roman" w:hAnsi="Times New Roman" w:cs="Times New Roman"/>
          <w:i/>
          <w:iCs/>
        </w:rPr>
        <w:t>Williams v. Denver</w:t>
      </w:r>
      <w:r w:rsidRPr="00D622D7">
        <w:rPr>
          <w:rStyle w:val="FootnoteReference"/>
          <w:rFonts w:ascii="Times New Roman" w:hAnsi="Times New Roman" w:cs="Times New Roman"/>
          <w:iCs/>
          <w:vertAlign w:val="superscript"/>
        </w:rPr>
        <w:footnoteReference w:id="171"/>
      </w:r>
      <w:r w:rsidRPr="00534155">
        <w:rPr>
          <w:rFonts w:ascii="Times New Roman" w:hAnsi="Times New Roman" w:cs="Times New Roman"/>
          <w:i/>
          <w:iCs/>
        </w:rPr>
        <w:t xml:space="preserve">, </w:t>
      </w:r>
      <w:r w:rsidRPr="00534155">
        <w:rPr>
          <w:rFonts w:ascii="Times New Roman" w:hAnsi="Times New Roman" w:cs="Times New Roman"/>
        </w:rPr>
        <w:t>the Supreme Court of Colorado directly addressed the issue of post-taking rezonin</w:t>
      </w:r>
      <w:r>
        <w:rPr>
          <w:rFonts w:ascii="Times New Roman" w:hAnsi="Times New Roman" w:cs="Times New Roman"/>
        </w:rPr>
        <w:t>g.</w:t>
      </w:r>
      <w:r w:rsidRPr="00534155">
        <w:rPr>
          <w:rFonts w:ascii="Times New Roman" w:hAnsi="Times New Roman" w:cs="Times New Roman"/>
        </w:rPr>
        <w:t xml:space="preserve"> </w:t>
      </w:r>
      <w:r>
        <w:rPr>
          <w:rFonts w:ascii="Times New Roman" w:hAnsi="Times New Roman" w:cs="Times New Roman"/>
        </w:rPr>
        <w:t>The</w:t>
      </w:r>
      <w:r w:rsidRPr="00534155">
        <w:rPr>
          <w:rFonts w:ascii="Times New Roman" w:hAnsi="Times New Roman" w:cs="Times New Roman"/>
        </w:rPr>
        <w:t xml:space="preserve"> zoning of the two parcels in question had changed between the filing of the petition in emi</w:t>
      </w:r>
      <w:r>
        <w:rPr>
          <w:rFonts w:ascii="Times New Roman" w:hAnsi="Times New Roman" w:cs="Times New Roman"/>
        </w:rPr>
        <w:t>nent domain and the date trial.</w:t>
      </w:r>
      <w:r w:rsidRPr="00534155">
        <w:rPr>
          <w:rFonts w:ascii="Times New Roman" w:hAnsi="Times New Roman" w:cs="Times New Roman"/>
        </w:rPr>
        <w:t xml:space="preserve"> The</w:t>
      </w:r>
      <w:r>
        <w:rPr>
          <w:rFonts w:ascii="Times New Roman" w:hAnsi="Times New Roman" w:cs="Times New Roman"/>
        </w:rPr>
        <w:t xml:space="preserve"> court decided </w:t>
      </w:r>
      <w:r w:rsidRPr="00534155">
        <w:rPr>
          <w:rFonts w:ascii="Times New Roman" w:hAnsi="Times New Roman" w:cs="Times New Roman"/>
        </w:rPr>
        <w:t>whether the property should be valued under the z</w:t>
      </w:r>
      <w:r>
        <w:rPr>
          <w:rFonts w:ascii="Times New Roman" w:hAnsi="Times New Roman" w:cs="Times New Roman"/>
        </w:rPr>
        <w:t>oning at the time of the taking</w:t>
      </w:r>
      <w:r w:rsidRPr="00534155">
        <w:rPr>
          <w:rFonts w:ascii="Times New Roman" w:hAnsi="Times New Roman" w:cs="Times New Roman"/>
        </w:rPr>
        <w:t xml:space="preserve"> </w:t>
      </w:r>
      <w:r>
        <w:rPr>
          <w:rFonts w:ascii="Times New Roman" w:hAnsi="Times New Roman" w:cs="Times New Roman"/>
        </w:rPr>
        <w:t>or at the time of the trial.</w:t>
      </w:r>
      <w:r w:rsidRPr="00534155">
        <w:rPr>
          <w:rFonts w:ascii="Times New Roman" w:hAnsi="Times New Roman" w:cs="Times New Roman"/>
        </w:rPr>
        <w:t xml:space="preserve"> The two defendant-owners of the property that had been taken sought to have the property value reflect the zoning change, but</w:t>
      </w:r>
      <w:r>
        <w:rPr>
          <w:rFonts w:ascii="Times New Roman" w:hAnsi="Times New Roman" w:cs="Times New Roman"/>
        </w:rPr>
        <w:t xml:space="preserve"> failed to convince the court. However, this decision was based on the </w:t>
      </w:r>
      <w:r>
        <w:rPr>
          <w:rFonts w:ascii="Times New Roman" w:hAnsi="Times New Roman" w:cs="Times New Roman"/>
        </w:rPr>
        <w:lastRenderedPageBreak/>
        <w:t>scope-of-the-project rule, because the zoning change was purely the result of the government’s planned improvement, and would not have occurred without it. The</w:t>
      </w:r>
      <w:r w:rsidRPr="00534155">
        <w:rPr>
          <w:rFonts w:ascii="Times New Roman" w:hAnsi="Times New Roman" w:cs="Times New Roman"/>
        </w:rPr>
        <w:t xml:space="preserve"> </w:t>
      </w:r>
      <w:r>
        <w:rPr>
          <w:rFonts w:ascii="Times New Roman" w:hAnsi="Times New Roman" w:cs="Times New Roman"/>
        </w:rPr>
        <w:t>c</w:t>
      </w:r>
      <w:r w:rsidRPr="00534155">
        <w:rPr>
          <w:rFonts w:ascii="Times New Roman" w:hAnsi="Times New Roman" w:cs="Times New Roman"/>
        </w:rPr>
        <w:t xml:space="preserve">ourt </w:t>
      </w:r>
      <w:r>
        <w:rPr>
          <w:rFonts w:ascii="Times New Roman" w:hAnsi="Times New Roman" w:cs="Times New Roman"/>
        </w:rPr>
        <w:t>acknowledged:</w:t>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It may be that under some circumstances evidence of a probable change in zoning may be admitted where such change is unrelated to the acquisition of the subject property. However, where the change in zoning results from the taking of the subject property, as is the case here, it is not admissible under the authority we have previously cited herein.</w:t>
      </w:r>
      <w:r w:rsidRPr="00534155">
        <w:rPr>
          <w:rStyle w:val="FootnoteReference"/>
          <w:rFonts w:ascii="Times New Roman" w:hAnsi="Times New Roman" w:cs="Times New Roman"/>
          <w:vertAlign w:val="superscript"/>
        </w:rPr>
        <w:footnoteReference w:id="172"/>
      </w:r>
    </w:p>
    <w:p w:rsidR="00FC122A" w:rsidRPr="00534155"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r>
        <w:rPr>
          <w:rFonts w:ascii="Times New Roman" w:hAnsi="Times New Roman" w:cs="Times New Roman"/>
        </w:rPr>
        <w:t xml:space="preserve">Thus, the exclusion of </w:t>
      </w:r>
      <w:r w:rsidRPr="00534155">
        <w:rPr>
          <w:rFonts w:ascii="Times New Roman" w:hAnsi="Times New Roman" w:cs="Times New Roman"/>
        </w:rPr>
        <w:t xml:space="preserve">evidence in </w:t>
      </w:r>
      <w:r w:rsidRPr="00534155">
        <w:rPr>
          <w:rFonts w:ascii="Times New Roman" w:hAnsi="Times New Roman" w:cs="Times New Roman"/>
          <w:i/>
          <w:iCs/>
        </w:rPr>
        <w:t>Williams</w:t>
      </w:r>
      <w:r w:rsidRPr="00534155">
        <w:rPr>
          <w:rFonts w:ascii="Times New Roman" w:hAnsi="Times New Roman" w:cs="Times New Roman"/>
        </w:rPr>
        <w:t xml:space="preserve"> appears to represent a determination that post-taking rezoning is not </w:t>
      </w:r>
      <w:r w:rsidRPr="00534155">
        <w:rPr>
          <w:rFonts w:ascii="Times New Roman" w:hAnsi="Times New Roman" w:cs="Times New Roman"/>
          <w:i/>
          <w:iCs/>
        </w:rPr>
        <w:t>per se</w:t>
      </w:r>
      <w:r w:rsidRPr="00534155">
        <w:rPr>
          <w:rFonts w:ascii="Times New Roman" w:hAnsi="Times New Roman" w:cs="Times New Roman"/>
        </w:rPr>
        <w:t xml:space="preserve"> inadmissible as a matter of law, but is instead inadmissible if appearing to be a result of the project for which the condemnation was implemented in the first place.</w:t>
      </w: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hAnsi="Times New Roman" w:cs="Times New Roman"/>
        </w:rPr>
      </w:pPr>
      <w:r>
        <w:rPr>
          <w:rFonts w:ascii="Times New Roman" w:hAnsi="Times New Roman" w:cs="Times New Roman"/>
        </w:rPr>
        <w:t xml:space="preserve">Further, the court indicated, </w:t>
      </w:r>
      <w:r w:rsidRPr="00534155">
        <w:rPr>
          <w:rFonts w:ascii="Times New Roman" w:hAnsi="Times New Roman" w:cs="Times New Roman"/>
        </w:rPr>
        <w:t>“if the rezoning happened to devalue the property instead of raising it, as defendants contend here, then it obviously would be unjust to defendants to asses</w:t>
      </w:r>
      <w:r>
        <w:rPr>
          <w:rFonts w:ascii="Times New Roman" w:hAnsi="Times New Roman" w:cs="Times New Roman"/>
        </w:rPr>
        <w:t>s such diminution against them.</w:t>
      </w:r>
      <w:r w:rsidRPr="00534155">
        <w:rPr>
          <w:rFonts w:ascii="Times New Roman" w:hAnsi="Times New Roman" w:cs="Times New Roman"/>
        </w:rPr>
        <w:t xml:space="preserve"> Fair compensation in condemnation cases does not include speculative values either lowering or raising the compensation to be paid.”</w:t>
      </w:r>
      <w:r w:rsidRPr="00534155">
        <w:rPr>
          <w:rStyle w:val="FootnoteReference"/>
          <w:rFonts w:ascii="Times New Roman" w:hAnsi="Times New Roman" w:cs="Times New Roman"/>
          <w:vertAlign w:val="superscript"/>
        </w:rPr>
        <w:footnoteReference w:id="173"/>
      </w:r>
      <w:r>
        <w:rPr>
          <w:rFonts w:ascii="Times New Roman" w:hAnsi="Times New Roman" w:cs="Times New Roman"/>
        </w:rPr>
        <w:t xml:space="preserve"> </w:t>
      </w:r>
      <w:r w:rsidRPr="00534155">
        <w:rPr>
          <w:rFonts w:ascii="Times New Roman" w:hAnsi="Times New Roman" w:cs="Times New Roman"/>
        </w:rPr>
        <w:t xml:space="preserve">In support of this principle, the </w:t>
      </w:r>
      <w:r>
        <w:rPr>
          <w:rFonts w:ascii="Times New Roman" w:hAnsi="Times New Roman" w:cs="Times New Roman"/>
        </w:rPr>
        <w:t>c</w:t>
      </w:r>
      <w:r w:rsidRPr="00534155">
        <w:rPr>
          <w:rFonts w:ascii="Times New Roman" w:hAnsi="Times New Roman" w:cs="Times New Roman"/>
        </w:rPr>
        <w:t>ourt noted that:</w:t>
      </w:r>
    </w:p>
    <w:p w:rsidR="00FC122A"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r w:rsidRPr="00534155">
        <w:rPr>
          <w:rFonts w:ascii="Times New Roman" w:hAnsi="Times New Roman" w:cs="Times New Roman"/>
        </w:rPr>
        <w:t>It rarely happens that proceedings for the condemnation of land for the public use are instituted without months, years, and, in some instances, decades of time spent in preliminary discussion and in the making of tentative plans. These discussions and plans are usually known to the owners and other persons interested in land in the vicinity of the proposed improvement, and are matters of common talk in the neighborhood. If the projected public work will be injurious to the neighborhood through which it will pass, the fact that it is hanging like the sword of Damocles over the heads of the land owners in the vicinity cannot but fail to have a depressing effect upon values, and on the other hand, if it is expected that the improvement will be of such a character as to benefit the surrounding land, values usually rise in anticipation of the c</w:t>
      </w:r>
      <w:r>
        <w:rPr>
          <w:rFonts w:ascii="Times New Roman" w:hAnsi="Times New Roman" w:cs="Times New Roman"/>
        </w:rPr>
        <w:t>onstruction of the improvement.</w:t>
      </w:r>
      <w:r w:rsidRPr="00534155">
        <w:rPr>
          <w:rStyle w:val="FootnoteReference"/>
          <w:rFonts w:ascii="Times New Roman" w:hAnsi="Times New Roman" w:cs="Times New Roman"/>
          <w:vertAlign w:val="superscript"/>
        </w:rPr>
        <w:footnoteReference w:id="174"/>
      </w:r>
    </w:p>
    <w:p w:rsidR="00FC122A" w:rsidRDefault="00FC122A" w:rsidP="00FC12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hAnsi="Times New Roman" w:cs="Times New Roman"/>
        </w:rPr>
      </w:pPr>
    </w:p>
    <w:p w:rsidR="00FC122A" w:rsidRPr="00534155" w:rsidRDefault="00FC122A" w:rsidP="00FC122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Pr>
          <w:rFonts w:ascii="Times New Roman" w:hAnsi="Times New Roman" w:cs="Times New Roman"/>
        </w:rPr>
        <w:t>In other words, while owners are not entitled to a windfall from rezonings that result in the scope of the government’s project, neither will they be punished if such rezonings devalue the property.</w:t>
      </w:r>
    </w:p>
    <w:p w:rsidR="005361AD" w:rsidRPr="00534155" w:rsidRDefault="005361AD" w:rsidP="005361A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hAnsi="Times New Roman" w:cs="Times New Roman"/>
          <w:b/>
          <w:bCs/>
        </w:rPr>
      </w:pPr>
      <w:r>
        <w:rPr>
          <w:rFonts w:ascii="Times New Roman" w:hAnsi="Times New Roman" w:cs="Times New Roman"/>
          <w:b/>
          <w:bCs/>
        </w:rPr>
        <w:lastRenderedPageBreak/>
        <w:tab/>
      </w:r>
      <w:r>
        <w:rPr>
          <w:rFonts w:ascii="Times New Roman" w:hAnsi="Times New Roman" w:cs="Times New Roman"/>
          <w:b/>
          <w:bCs/>
        </w:rPr>
        <w:tab/>
      </w:r>
      <w:r>
        <w:rPr>
          <w:rFonts w:ascii="Times New Roman" w:hAnsi="Times New Roman" w:cs="Times New Roman"/>
          <w:b/>
          <w:bCs/>
        </w:rPr>
        <w:tab/>
      </w:r>
      <w:r w:rsidR="00BA4975">
        <w:rPr>
          <w:rFonts w:ascii="Times New Roman" w:hAnsi="Times New Roman" w:cs="Times New Roman"/>
          <w:b/>
          <w:bCs/>
        </w:rPr>
        <w:t>g</w:t>
      </w:r>
      <w:r w:rsidRPr="005361AD">
        <w:rPr>
          <w:rFonts w:ascii="Times New Roman" w:hAnsi="Times New Roman" w:cs="Times New Roman"/>
          <w:b/>
          <w:bCs/>
        </w:rPr>
        <w:t>.</w:t>
      </w:r>
      <w:r w:rsidRPr="005361AD">
        <w:rPr>
          <w:rFonts w:ascii="Times New Roman" w:hAnsi="Times New Roman" w:cs="Times New Roman"/>
          <w:b/>
          <w:bCs/>
        </w:rPr>
        <w:tab/>
        <w:t>Washington</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The Court of Appeals of Washington considered the post-taking issue in </w:t>
      </w:r>
      <w:r w:rsidRPr="00534155">
        <w:rPr>
          <w:rFonts w:ascii="Times New Roman" w:eastAsia="MS PMincho" w:hAnsi="Times New Roman" w:cs="Times New Roman"/>
          <w:i/>
          <w:iCs/>
        </w:rPr>
        <w:t>State v. Templeman</w:t>
      </w:r>
      <w:r w:rsidRPr="00534155">
        <w:rPr>
          <w:rFonts w:ascii="Times New Roman" w:eastAsia="MS PMincho" w:hAnsi="Times New Roman" w:cs="Times New Roman"/>
        </w:rPr>
        <w:t>.</w:t>
      </w:r>
      <w:r w:rsidRPr="00534155">
        <w:rPr>
          <w:rStyle w:val="FootnoteReference"/>
          <w:rFonts w:ascii="Times New Roman" w:eastAsia="MS PMincho" w:hAnsi="Times New Roman" w:cs="Times New Roman"/>
          <w:vertAlign w:val="superscript"/>
        </w:rPr>
        <w:footnoteReference w:id="175"/>
      </w:r>
      <w:r w:rsidR="00E14BC2">
        <w:rPr>
          <w:rFonts w:ascii="Times New Roman" w:eastAsia="MS PMincho" w:hAnsi="Times New Roman" w:cs="Times New Roman"/>
        </w:rPr>
        <w:t xml:space="preserve"> </w:t>
      </w:r>
      <w:r w:rsidRPr="00534155">
        <w:rPr>
          <w:rFonts w:ascii="Times New Roman" w:eastAsia="MS PMincho" w:hAnsi="Times New Roman" w:cs="Times New Roman"/>
        </w:rPr>
        <w:t xml:space="preserve">In </w:t>
      </w:r>
      <w:r w:rsidR="00294955" w:rsidRPr="00534155">
        <w:rPr>
          <w:rFonts w:ascii="Times New Roman" w:eastAsia="MS PMincho" w:hAnsi="Times New Roman" w:cs="Times New Roman"/>
          <w:i/>
          <w:iCs/>
        </w:rPr>
        <w:t>Templeman,</w:t>
      </w:r>
      <w:r w:rsidRPr="00534155">
        <w:rPr>
          <w:rFonts w:ascii="Times New Roman" w:eastAsia="MS PMincho" w:hAnsi="Times New Roman" w:cs="Times New Roman"/>
        </w:rPr>
        <w:t xml:space="preserve"> the condemning authority had condemned a portion of the defendant’s parcels for highway purposes</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The trial court had found that no compensation was due to the property owner, finding the highway project to have conferred a special benefit on the property that offset the compensation required for the taking of the property.</w:t>
      </w:r>
    </w:p>
    <w:p w:rsidR="001C6202" w:rsidRPr="00534155" w:rsidRDefault="001C6202" w:rsidP="00E14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In conducting its analysis of the principle of “special benefits” in Washington law, the </w:t>
      </w:r>
      <w:r w:rsidR="00E14BC2">
        <w:rPr>
          <w:rFonts w:ascii="Times New Roman" w:eastAsia="MS PMincho" w:hAnsi="Times New Roman" w:cs="Times New Roman"/>
        </w:rPr>
        <w:t>c</w:t>
      </w:r>
      <w:r w:rsidRPr="00534155">
        <w:rPr>
          <w:rFonts w:ascii="Times New Roman" w:eastAsia="MS PMincho" w:hAnsi="Times New Roman" w:cs="Times New Roman"/>
        </w:rPr>
        <w:t xml:space="preserve">ourt examined the </w:t>
      </w:r>
      <w:r w:rsidR="00E14BC2">
        <w:rPr>
          <w:rFonts w:ascii="Times New Roman" w:eastAsia="MS PMincho" w:hAnsi="Times New Roman" w:cs="Times New Roman"/>
        </w:rPr>
        <w:t xml:space="preserve">trial court’s jury instruction </w:t>
      </w:r>
      <w:r w:rsidRPr="00534155">
        <w:rPr>
          <w:rFonts w:ascii="Times New Roman" w:eastAsia="MS PMincho" w:hAnsi="Times New Roman" w:cs="Times New Roman"/>
        </w:rPr>
        <w:t>11, which stated that “Any increase in the fair market value of the real property to be acquired prior to the date of valuation caused by the public improvement for which such property is acquired will be disregarded in determining the compensation for the property.”</w:t>
      </w:r>
      <w:r w:rsidRPr="00534155">
        <w:rPr>
          <w:rStyle w:val="FootnoteReference"/>
          <w:rFonts w:ascii="Times New Roman" w:eastAsia="MS PMincho" w:hAnsi="Times New Roman" w:cs="Times New Roman"/>
          <w:vertAlign w:val="superscript"/>
        </w:rPr>
        <w:footnoteReference w:id="176"/>
      </w:r>
      <w:r w:rsidR="00140102">
        <w:rPr>
          <w:rFonts w:ascii="Times New Roman" w:eastAsia="MS PMincho" w:hAnsi="Times New Roman" w:cs="Times New Roman"/>
        </w:rPr>
        <w:t xml:space="preserve"> </w:t>
      </w:r>
      <w:r w:rsidRPr="00534155">
        <w:rPr>
          <w:rFonts w:ascii="Times New Roman" w:eastAsia="MS PMincho" w:hAnsi="Times New Roman" w:cs="Times New Roman"/>
        </w:rPr>
        <w:t xml:space="preserve">The </w:t>
      </w:r>
      <w:r w:rsidR="00E14BC2">
        <w:rPr>
          <w:rFonts w:ascii="Times New Roman" w:eastAsia="MS PMincho" w:hAnsi="Times New Roman" w:cs="Times New Roman"/>
        </w:rPr>
        <w:t>c</w:t>
      </w:r>
      <w:r w:rsidRPr="00534155">
        <w:rPr>
          <w:rFonts w:ascii="Times New Roman" w:eastAsia="MS PMincho" w:hAnsi="Times New Roman" w:cs="Times New Roman"/>
        </w:rPr>
        <w:t xml:space="preserve">ourt admitted that the instruction properly stated the Washington law under </w:t>
      </w:r>
      <w:r w:rsidRPr="00140102">
        <w:rPr>
          <w:rStyle w:val="Hyperlink6"/>
          <w:rFonts w:ascii="Times New Roman" w:hAnsi="Times New Roman" w:cs="Times New Roman"/>
          <w:i/>
          <w:iCs/>
          <w:sz w:val="24"/>
          <w:szCs w:val="24"/>
          <w:u w:val="none"/>
        </w:rPr>
        <w:t>Pierce Cy. ex rel. Bellingham v. Duffy</w:t>
      </w:r>
      <w:r w:rsidRPr="00140102">
        <w:rPr>
          <w:rStyle w:val="Hyperlink6"/>
          <w:rFonts w:ascii="Times New Roman" w:hAnsi="Times New Roman" w:cs="Times New Roman"/>
          <w:sz w:val="24"/>
          <w:szCs w:val="24"/>
          <w:u w:val="none"/>
        </w:rPr>
        <w:t>.</w:t>
      </w:r>
      <w:r w:rsidRPr="00140102">
        <w:rPr>
          <w:rStyle w:val="FootnoteReference"/>
          <w:rFonts w:ascii="Times New Roman" w:eastAsia="MS PMincho" w:hAnsi="Times New Roman" w:cs="Times New Roman"/>
          <w:vertAlign w:val="superscript"/>
        </w:rPr>
        <w:footnoteReference w:id="177"/>
      </w:r>
      <w:r w:rsidRPr="00534155">
        <w:rPr>
          <w:rFonts w:ascii="Times New Roman" w:eastAsia="MS PMincho" w:hAnsi="Times New Roman" w:cs="Times New Roman"/>
        </w:rPr>
        <w:t xml:space="preserve"> The Court further acknowledged that, when calculating the value of the land taken, in addition to disregarding the increase or decrease in land value resulting from the condemnation, “[l]ikewise, rezoning which is the result of a proposed improvement cannot be considered in valuing the land taken.”</w:t>
      </w:r>
      <w:r w:rsidRPr="00534155">
        <w:rPr>
          <w:rStyle w:val="FootnoteReference"/>
          <w:rFonts w:ascii="Times New Roman" w:eastAsia="MS PMincho" w:hAnsi="Times New Roman" w:cs="Times New Roman"/>
          <w:vertAlign w:val="superscript"/>
        </w:rPr>
        <w:footnoteReference w:id="178"/>
      </w:r>
      <w:r w:rsidRPr="00534155">
        <w:rPr>
          <w:rFonts w:ascii="Times New Roman" w:eastAsia="MS PMincho" w:hAnsi="Times New Roman" w:cs="Times New Roman"/>
        </w:rPr>
        <w:t xml:space="preserve">As a result of its analysis, the </w:t>
      </w:r>
      <w:r w:rsidR="00E14BC2">
        <w:rPr>
          <w:rFonts w:ascii="Times New Roman" w:eastAsia="MS PMincho" w:hAnsi="Times New Roman" w:cs="Times New Roman"/>
        </w:rPr>
        <w:t>c</w:t>
      </w:r>
      <w:r w:rsidRPr="00534155">
        <w:rPr>
          <w:rFonts w:ascii="Times New Roman" w:eastAsia="MS PMincho" w:hAnsi="Times New Roman" w:cs="Times New Roman"/>
        </w:rPr>
        <w:t>ourt found that the trial court h</w:t>
      </w:r>
      <w:r w:rsidR="00294955">
        <w:rPr>
          <w:rFonts w:ascii="Times New Roman" w:eastAsia="MS PMincho" w:hAnsi="Times New Roman" w:cs="Times New Roman"/>
        </w:rPr>
        <w:t>ad properly addressed the issue</w:t>
      </w:r>
      <w:r w:rsidRPr="00534155">
        <w:rPr>
          <w:rFonts w:ascii="Times New Roman" w:eastAsia="MS PMincho" w:hAnsi="Times New Roman" w:cs="Times New Roman"/>
        </w:rPr>
        <w:t xml:space="preserve"> and that the case was properly submitted to the jury, and that the instructions were properly administered by the </w:t>
      </w:r>
      <w:r w:rsidR="00E14BC2">
        <w:rPr>
          <w:rFonts w:ascii="Times New Roman" w:eastAsia="MS PMincho" w:hAnsi="Times New Roman" w:cs="Times New Roman"/>
        </w:rPr>
        <w:t>trial c</w:t>
      </w:r>
      <w:r w:rsidRPr="00534155">
        <w:rPr>
          <w:rFonts w:ascii="Times New Roman" w:eastAsia="MS PMincho" w:hAnsi="Times New Roman" w:cs="Times New Roman"/>
        </w:rPr>
        <w:t>ourt.</w:t>
      </w:r>
    </w:p>
    <w:p w:rsidR="00EE0FF3" w:rsidRDefault="00E14BC2" w:rsidP="00BA4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b/>
          <w:bCs/>
        </w:rPr>
      </w:pPr>
      <w:r>
        <w:rPr>
          <w:rFonts w:ascii="Times New Roman" w:eastAsia="MS PMincho" w:hAnsi="Times New Roman" w:cs="Times New Roman"/>
          <w:b/>
          <w:bCs/>
        </w:rPr>
        <w:tab/>
      </w:r>
      <w:r>
        <w:rPr>
          <w:rFonts w:ascii="Times New Roman" w:eastAsia="MS PMincho" w:hAnsi="Times New Roman" w:cs="Times New Roman"/>
          <w:b/>
          <w:bCs/>
        </w:rPr>
        <w:tab/>
      </w:r>
      <w:r>
        <w:rPr>
          <w:rFonts w:ascii="Times New Roman" w:eastAsia="MS PMincho" w:hAnsi="Times New Roman" w:cs="Times New Roman"/>
          <w:b/>
          <w:bCs/>
        </w:rPr>
        <w:tab/>
      </w:r>
    </w:p>
    <w:p w:rsidR="00EE0FF3" w:rsidRDefault="00EE0FF3">
      <w:pPr>
        <w:widowControl/>
        <w:autoSpaceDE/>
        <w:autoSpaceDN/>
        <w:adjustRightInd/>
        <w:spacing w:after="200" w:line="276" w:lineRule="auto"/>
        <w:rPr>
          <w:rFonts w:ascii="Times New Roman" w:eastAsia="MS PMincho" w:hAnsi="Times New Roman" w:cs="Times New Roman"/>
          <w:b/>
          <w:bCs/>
        </w:rPr>
      </w:pPr>
      <w:r>
        <w:rPr>
          <w:rFonts w:ascii="Times New Roman" w:eastAsia="MS PMincho" w:hAnsi="Times New Roman" w:cs="Times New Roman"/>
          <w:b/>
          <w:bCs/>
        </w:rPr>
        <w:br w:type="page"/>
      </w:r>
    </w:p>
    <w:p w:rsidR="00BA4975" w:rsidRPr="00534155" w:rsidRDefault="00EE0FF3" w:rsidP="00BA4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b/>
          <w:bCs/>
        </w:rPr>
      </w:pPr>
      <w:r>
        <w:rPr>
          <w:rFonts w:ascii="Times New Roman" w:eastAsia="MS PMincho" w:hAnsi="Times New Roman" w:cs="Times New Roman"/>
          <w:b/>
          <w:bCs/>
        </w:rPr>
        <w:lastRenderedPageBreak/>
        <w:tab/>
      </w:r>
      <w:r>
        <w:rPr>
          <w:rFonts w:ascii="Times New Roman" w:eastAsia="MS PMincho" w:hAnsi="Times New Roman" w:cs="Times New Roman"/>
          <w:b/>
          <w:bCs/>
        </w:rPr>
        <w:tab/>
      </w:r>
      <w:r>
        <w:rPr>
          <w:rFonts w:ascii="Times New Roman" w:eastAsia="MS PMincho" w:hAnsi="Times New Roman" w:cs="Times New Roman"/>
          <w:b/>
          <w:bCs/>
        </w:rPr>
        <w:tab/>
      </w:r>
      <w:r w:rsidR="00BA4975">
        <w:rPr>
          <w:rFonts w:ascii="Times New Roman" w:eastAsia="MS PMincho" w:hAnsi="Times New Roman" w:cs="Times New Roman"/>
          <w:b/>
          <w:bCs/>
        </w:rPr>
        <w:t>h</w:t>
      </w:r>
      <w:r w:rsidR="00BA4975" w:rsidRPr="00534155">
        <w:rPr>
          <w:rFonts w:ascii="Times New Roman" w:eastAsia="MS PMincho" w:hAnsi="Times New Roman" w:cs="Times New Roman"/>
          <w:b/>
          <w:bCs/>
        </w:rPr>
        <w:t>.</w:t>
      </w:r>
      <w:r w:rsidR="00BA4975" w:rsidRPr="00534155">
        <w:rPr>
          <w:rFonts w:ascii="Times New Roman" w:eastAsia="MS PMincho" w:hAnsi="Times New Roman" w:cs="Times New Roman"/>
          <w:b/>
          <w:bCs/>
        </w:rPr>
        <w:tab/>
        <w:t>Michigan</w:t>
      </w:r>
    </w:p>
    <w:p w:rsidR="00BA4975" w:rsidRPr="00534155" w:rsidRDefault="00BA4975" w:rsidP="00E14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Pr>
          <w:rFonts w:ascii="Times New Roman" w:eastAsia="MS PMincho" w:hAnsi="Times New Roman" w:cs="Times New Roman"/>
        </w:rPr>
        <w:t>Finally, t</w:t>
      </w:r>
      <w:r w:rsidRPr="00534155">
        <w:rPr>
          <w:rFonts w:ascii="Times New Roman" w:eastAsia="MS PMincho" w:hAnsi="Times New Roman" w:cs="Times New Roman"/>
        </w:rPr>
        <w:t xml:space="preserve">he most recent and most comprehensive analysis of the post-taking issue was </w:t>
      </w:r>
      <w:r w:rsidR="00E14BC2">
        <w:rPr>
          <w:rFonts w:ascii="Times New Roman" w:eastAsia="MS PMincho" w:hAnsi="Times New Roman" w:cs="Times New Roman"/>
        </w:rPr>
        <w:t xml:space="preserve">in a </w:t>
      </w:r>
      <w:r w:rsidRPr="00534155">
        <w:rPr>
          <w:rFonts w:ascii="Times New Roman" w:eastAsia="MS PMincho" w:hAnsi="Times New Roman" w:cs="Times New Roman"/>
        </w:rPr>
        <w:t xml:space="preserve">Michigan Supreme Court </w:t>
      </w:r>
      <w:r w:rsidR="00E14BC2">
        <w:rPr>
          <w:rFonts w:ascii="Times New Roman" w:eastAsia="MS PMincho" w:hAnsi="Times New Roman" w:cs="Times New Roman"/>
        </w:rPr>
        <w:t xml:space="preserve">case, </w:t>
      </w:r>
      <w:r w:rsidR="00E14BC2">
        <w:rPr>
          <w:rFonts w:ascii="Times New Roman" w:eastAsia="MS PMincho" w:hAnsi="Times New Roman" w:cs="Times New Roman"/>
          <w:i/>
          <w:iCs/>
        </w:rPr>
        <w:t>Dept.</w:t>
      </w:r>
      <w:r w:rsidRPr="00534155">
        <w:rPr>
          <w:rFonts w:ascii="Times New Roman" w:eastAsia="MS PMincho" w:hAnsi="Times New Roman" w:cs="Times New Roman"/>
          <w:i/>
          <w:iCs/>
        </w:rPr>
        <w:t xml:space="preserve"> of Transp</w:t>
      </w:r>
      <w:r w:rsidR="00E14BC2">
        <w:rPr>
          <w:rFonts w:ascii="Times New Roman" w:eastAsia="MS PMincho" w:hAnsi="Times New Roman" w:cs="Times New Roman"/>
          <w:i/>
          <w:iCs/>
        </w:rPr>
        <w:t>.</w:t>
      </w:r>
      <w:r w:rsidRPr="00534155">
        <w:rPr>
          <w:rFonts w:ascii="Times New Roman" w:eastAsia="MS PMincho" w:hAnsi="Times New Roman" w:cs="Times New Roman"/>
          <w:i/>
          <w:iCs/>
        </w:rPr>
        <w:t xml:space="preserve"> v. Haggerty Corridor Partners</w:t>
      </w:r>
      <w:r w:rsidRPr="00534155">
        <w:rPr>
          <w:rFonts w:ascii="Times New Roman" w:eastAsia="MS PMincho" w:hAnsi="Times New Roman" w:cs="Times New Roman"/>
        </w:rPr>
        <w:t>.</w:t>
      </w:r>
      <w:r w:rsidRPr="00534155">
        <w:rPr>
          <w:rStyle w:val="FootnoteReference"/>
          <w:rFonts w:ascii="Times New Roman" w:eastAsia="MS PMincho" w:hAnsi="Times New Roman" w:cs="Times New Roman"/>
          <w:vertAlign w:val="superscript"/>
        </w:rPr>
        <w:footnoteReference w:id="179"/>
      </w:r>
      <w:r>
        <w:rPr>
          <w:rFonts w:ascii="Times New Roman" w:eastAsia="MS PMincho" w:hAnsi="Times New Roman" w:cs="Times New Roman"/>
        </w:rPr>
        <w:t xml:space="preserve"> </w:t>
      </w:r>
      <w:r w:rsidRPr="00534155">
        <w:rPr>
          <w:rFonts w:ascii="Times New Roman" w:eastAsia="MS PMincho" w:hAnsi="Times New Roman" w:cs="Times New Roman"/>
        </w:rPr>
        <w:t xml:space="preserve">In </w:t>
      </w:r>
      <w:r w:rsidRPr="00534155">
        <w:rPr>
          <w:rFonts w:ascii="Times New Roman" w:eastAsia="MS PMincho" w:hAnsi="Times New Roman" w:cs="Times New Roman"/>
          <w:i/>
          <w:iCs/>
        </w:rPr>
        <w:t>Haggerty Corridor</w:t>
      </w:r>
      <w:r w:rsidRPr="00534155">
        <w:rPr>
          <w:rFonts w:ascii="Times New Roman" w:eastAsia="MS PMincho" w:hAnsi="Times New Roman" w:cs="Times New Roman"/>
        </w:rPr>
        <w:t xml:space="preserve">, the </w:t>
      </w:r>
      <w:r w:rsidR="00E14BC2">
        <w:rPr>
          <w:rFonts w:ascii="Times New Roman" w:eastAsia="MS PMincho" w:hAnsi="Times New Roman" w:cs="Times New Roman"/>
        </w:rPr>
        <w:t>c</w:t>
      </w:r>
      <w:r w:rsidRPr="00534155">
        <w:rPr>
          <w:rFonts w:ascii="Times New Roman" w:eastAsia="MS PMincho" w:hAnsi="Times New Roman" w:cs="Times New Roman"/>
        </w:rPr>
        <w:t>ourt considered the admissibility of post-condemnation rezoning of land f</w:t>
      </w:r>
      <w:r w:rsidR="00E14BC2">
        <w:rPr>
          <w:rFonts w:ascii="Times New Roman" w:eastAsia="MS PMincho" w:hAnsi="Times New Roman" w:cs="Times New Roman"/>
        </w:rPr>
        <w:t xml:space="preserve">rom residential to commercial. </w:t>
      </w:r>
      <w:r w:rsidRPr="00534155">
        <w:rPr>
          <w:rFonts w:ascii="Times New Roman" w:eastAsia="MS PMincho" w:hAnsi="Times New Roman" w:cs="Times New Roman"/>
        </w:rPr>
        <w:t xml:space="preserve">In reversing a verdict favoring the property owners, the </w:t>
      </w:r>
      <w:r w:rsidR="00E14BC2">
        <w:rPr>
          <w:rFonts w:ascii="Times New Roman" w:eastAsia="MS PMincho" w:hAnsi="Times New Roman" w:cs="Times New Roman"/>
        </w:rPr>
        <w:t>c</w:t>
      </w:r>
      <w:r w:rsidRPr="00534155">
        <w:rPr>
          <w:rFonts w:ascii="Times New Roman" w:eastAsia="MS PMincho" w:hAnsi="Times New Roman" w:cs="Times New Roman"/>
        </w:rPr>
        <w:t>ourt affirmed the decision of the Court of Appeals that the trial court improperly admit</w:t>
      </w:r>
      <w:r w:rsidR="00E14BC2">
        <w:rPr>
          <w:rFonts w:ascii="Times New Roman" w:eastAsia="MS PMincho" w:hAnsi="Times New Roman" w:cs="Times New Roman"/>
        </w:rPr>
        <w:t>ted evidence that 2</w:t>
      </w:r>
      <w:r w:rsidRPr="00534155">
        <w:rPr>
          <w:rFonts w:ascii="Times New Roman" w:eastAsia="MS PMincho" w:hAnsi="Times New Roman" w:cs="Times New Roman"/>
        </w:rPr>
        <w:t xml:space="preserve">½ years after the taking in question, the property was rezoned </w:t>
      </w:r>
      <w:r w:rsidR="00E14BC2">
        <w:rPr>
          <w:rFonts w:ascii="Times New Roman" w:eastAsia="MS PMincho" w:hAnsi="Times New Roman" w:cs="Times New Roman"/>
        </w:rPr>
        <w:t xml:space="preserve">from residential to commercial. </w:t>
      </w:r>
      <w:r w:rsidRPr="00534155">
        <w:rPr>
          <w:rFonts w:ascii="Times New Roman" w:eastAsia="MS PMincho" w:hAnsi="Times New Roman" w:cs="Times New Roman"/>
        </w:rPr>
        <w:t xml:space="preserve">The case arose from </w:t>
      </w:r>
      <w:r w:rsidR="00E14BC2">
        <w:rPr>
          <w:rFonts w:ascii="Times New Roman" w:eastAsia="MS PMincho" w:hAnsi="Times New Roman" w:cs="Times New Roman"/>
        </w:rPr>
        <w:t>the state’s</w:t>
      </w:r>
      <w:r w:rsidRPr="00534155">
        <w:rPr>
          <w:rFonts w:ascii="Times New Roman" w:eastAsia="MS PMincho" w:hAnsi="Times New Roman" w:cs="Times New Roman"/>
        </w:rPr>
        <w:t xml:space="preserve"> acquisition of approximately 51 acres in </w:t>
      </w:r>
      <w:r w:rsidR="00E14BC2">
        <w:rPr>
          <w:rFonts w:ascii="Times New Roman" w:eastAsia="MS PMincho" w:hAnsi="Times New Roman" w:cs="Times New Roman"/>
        </w:rPr>
        <w:t>the City of Novi for construction of</w:t>
      </w:r>
      <w:r w:rsidRPr="00534155">
        <w:rPr>
          <w:rFonts w:ascii="Times New Roman" w:eastAsia="MS PMincho" w:hAnsi="Times New Roman" w:cs="Times New Roman"/>
        </w:rPr>
        <w:t xml:space="preserve"> the M-5 </w:t>
      </w:r>
      <w:r w:rsidR="00E14BC2">
        <w:rPr>
          <w:rFonts w:ascii="Times New Roman" w:eastAsia="MS PMincho" w:hAnsi="Times New Roman" w:cs="Times New Roman"/>
        </w:rPr>
        <w:t>to Haggerty Road c</w:t>
      </w:r>
      <w:r w:rsidRPr="00534155">
        <w:rPr>
          <w:rFonts w:ascii="Times New Roman" w:eastAsia="MS PMincho" w:hAnsi="Times New Roman" w:cs="Times New Roman"/>
        </w:rPr>
        <w:t>onnector</w:t>
      </w:r>
      <w:r w:rsidR="00E14BC2">
        <w:rPr>
          <w:rFonts w:ascii="Times New Roman" w:eastAsia="MS PMincho" w:hAnsi="Times New Roman" w:cs="Times New Roman"/>
        </w:rPr>
        <w:t xml:space="preserve">. The state’s </w:t>
      </w:r>
      <w:r w:rsidRPr="00534155">
        <w:rPr>
          <w:rFonts w:ascii="Times New Roman" w:eastAsia="MS PMincho" w:hAnsi="Times New Roman" w:cs="Times New Roman"/>
        </w:rPr>
        <w:t>good faith offer was based on the property’s zoning as</w:t>
      </w:r>
      <w:r w:rsidR="00E14BC2">
        <w:rPr>
          <w:rFonts w:ascii="Times New Roman" w:eastAsia="MS PMincho" w:hAnsi="Times New Roman" w:cs="Times New Roman"/>
        </w:rPr>
        <w:t xml:space="preserve"> single family residential and agricultural.</w:t>
      </w:r>
      <w:r w:rsidRPr="00534155">
        <w:rPr>
          <w:rFonts w:ascii="Times New Roman" w:eastAsia="MS PMincho" w:hAnsi="Times New Roman" w:cs="Times New Roman"/>
        </w:rPr>
        <w:t xml:space="preserve"> The property owners rejected the offer and </w:t>
      </w:r>
      <w:r w:rsidR="00E14BC2">
        <w:rPr>
          <w:rFonts w:ascii="Times New Roman" w:eastAsia="MS PMincho" w:hAnsi="Times New Roman" w:cs="Times New Roman"/>
        </w:rPr>
        <w:t>the state sued in December 1995. Approximately 2</w:t>
      </w:r>
      <w:r w:rsidRPr="00534155">
        <w:rPr>
          <w:rFonts w:ascii="Times New Roman" w:eastAsia="MS PMincho" w:hAnsi="Times New Roman" w:cs="Times New Roman"/>
        </w:rPr>
        <w:t xml:space="preserve">½ years later, in May 1998, Novi rezoned the property for </w:t>
      </w:r>
      <w:r w:rsidR="00E14BC2">
        <w:rPr>
          <w:rFonts w:ascii="Times New Roman" w:eastAsia="MS PMincho" w:hAnsi="Times New Roman" w:cs="Times New Roman"/>
        </w:rPr>
        <w:t>office/service/technology uses. At trial, the state</w:t>
      </w:r>
      <w:r w:rsidRPr="00534155">
        <w:rPr>
          <w:rFonts w:ascii="Times New Roman" w:eastAsia="MS PMincho" w:hAnsi="Times New Roman" w:cs="Times New Roman"/>
        </w:rPr>
        <w:t xml:space="preserve"> presented evidence that at the time of the taking, it was unlikely the property would be rezoned to </w:t>
      </w:r>
      <w:r w:rsidR="00E14BC2">
        <w:rPr>
          <w:rFonts w:ascii="Times New Roman" w:eastAsia="MS PMincho" w:hAnsi="Times New Roman" w:cs="Times New Roman"/>
        </w:rPr>
        <w:t xml:space="preserve">permit commercial development. Specifically, the state’s </w:t>
      </w:r>
      <w:r w:rsidRPr="00534155">
        <w:rPr>
          <w:rFonts w:ascii="Times New Roman" w:eastAsia="MS PMincho" w:hAnsi="Times New Roman" w:cs="Times New Roman"/>
        </w:rPr>
        <w:t>appraiser testified that it was economically feasible to develop the parcel, both before and after the taking, as a residential subdivision, and that in 1995, it was not reasonably possible that the land would be rezoned for commercial use</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 xml:space="preserve">The property owner responded, however, that as of the taking in 1995, the property was likely to be rezoned to allow for its </w:t>
      </w:r>
      <w:r w:rsidR="00E14BC2">
        <w:rPr>
          <w:rFonts w:ascii="Times New Roman" w:eastAsia="MS PMincho" w:hAnsi="Times New Roman" w:cs="Times New Roman"/>
        </w:rPr>
        <w:t xml:space="preserve">planned use as an office park. </w:t>
      </w:r>
      <w:r w:rsidRPr="00534155">
        <w:rPr>
          <w:rFonts w:ascii="Times New Roman" w:eastAsia="MS PMincho" w:hAnsi="Times New Roman" w:cs="Times New Roman"/>
        </w:rPr>
        <w:t>The property owners’ appraiser testified that the land could not have been profitably developed as residential property and that the rezoning was imminent at</w:t>
      </w:r>
      <w:r w:rsidR="00E14BC2">
        <w:rPr>
          <w:rFonts w:ascii="Times New Roman" w:eastAsia="MS PMincho" w:hAnsi="Times New Roman" w:cs="Times New Roman"/>
        </w:rPr>
        <w:t xml:space="preserve"> the time of the taking. Further</w:t>
      </w:r>
      <w:r w:rsidRPr="00534155">
        <w:rPr>
          <w:rFonts w:ascii="Times New Roman" w:eastAsia="MS PMincho" w:hAnsi="Times New Roman" w:cs="Times New Roman"/>
        </w:rPr>
        <w:t xml:space="preserve">, consistent with that theory and over the objections of </w:t>
      </w:r>
      <w:r w:rsidR="00E14BC2">
        <w:rPr>
          <w:rFonts w:ascii="Times New Roman" w:eastAsia="MS PMincho" w:hAnsi="Times New Roman" w:cs="Times New Roman"/>
        </w:rPr>
        <w:t>the state,</w:t>
      </w:r>
      <w:r w:rsidRPr="00534155">
        <w:rPr>
          <w:rFonts w:ascii="Times New Roman" w:eastAsia="MS PMincho" w:hAnsi="Times New Roman" w:cs="Times New Roman"/>
        </w:rPr>
        <w:t xml:space="preserve"> which the trial court rejected, the property owner presented evidence that in May 1998, the property was in fa</w:t>
      </w:r>
      <w:r w:rsidR="00E14BC2">
        <w:rPr>
          <w:rFonts w:ascii="Times New Roman" w:eastAsia="MS PMincho" w:hAnsi="Times New Roman" w:cs="Times New Roman"/>
        </w:rPr>
        <w:t>ct rezoned for commercial uses.</w:t>
      </w:r>
      <w:r w:rsidRPr="00534155">
        <w:rPr>
          <w:rFonts w:ascii="Times New Roman" w:eastAsia="MS PMincho" w:hAnsi="Times New Roman" w:cs="Times New Roman"/>
        </w:rPr>
        <w:t xml:space="preserve"> The trial court denied </w:t>
      </w:r>
      <w:r w:rsidR="00E14BC2">
        <w:rPr>
          <w:rFonts w:ascii="Times New Roman" w:eastAsia="MS PMincho" w:hAnsi="Times New Roman" w:cs="Times New Roman"/>
        </w:rPr>
        <w:t xml:space="preserve">the </w:t>
      </w:r>
      <w:r w:rsidR="00E14BC2">
        <w:rPr>
          <w:rFonts w:ascii="Times New Roman" w:eastAsia="MS PMincho" w:hAnsi="Times New Roman" w:cs="Times New Roman"/>
        </w:rPr>
        <w:lastRenderedPageBreak/>
        <w:t>state’</w:t>
      </w:r>
      <w:r w:rsidRPr="00E14BC2">
        <w:rPr>
          <w:rFonts w:ascii="Times New Roman" w:eastAsia="MS PMincho" w:hAnsi="Times New Roman" w:cs="Times New Roman"/>
        </w:rPr>
        <w:t xml:space="preserve">s motion </w:t>
      </w:r>
      <w:r w:rsidRPr="00E14BC2">
        <w:rPr>
          <w:rFonts w:ascii="Times New Roman" w:eastAsia="MS PMincho" w:hAnsi="Times New Roman" w:cs="Times New Roman"/>
          <w:iCs/>
        </w:rPr>
        <w:t>in limine</w:t>
      </w:r>
      <w:r w:rsidRPr="00534155">
        <w:rPr>
          <w:rFonts w:ascii="Times New Roman" w:eastAsia="MS PMincho" w:hAnsi="Times New Roman" w:cs="Times New Roman"/>
        </w:rPr>
        <w:t xml:space="preserve"> to bar the evidence and also </w:t>
      </w:r>
      <w:r w:rsidR="00E14BC2">
        <w:rPr>
          <w:rFonts w:ascii="Times New Roman" w:eastAsia="MS PMincho" w:hAnsi="Times New Roman" w:cs="Times New Roman"/>
        </w:rPr>
        <w:t>its</w:t>
      </w:r>
      <w:r w:rsidRPr="00534155">
        <w:rPr>
          <w:rFonts w:ascii="Times New Roman" w:eastAsia="MS PMincho" w:hAnsi="Times New Roman" w:cs="Times New Roman"/>
        </w:rPr>
        <w:t xml:space="preserve"> alternative request to present evidence that the rezoning took place solely as a result of the taking.</w:t>
      </w:r>
    </w:p>
    <w:p w:rsidR="00BA4975" w:rsidRPr="00534155" w:rsidRDefault="00BA4975" w:rsidP="00BA4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sectPr w:rsidR="00BA4975" w:rsidRPr="00534155" w:rsidSect="005146CF">
          <w:footerReference w:type="default" r:id="rId9"/>
          <w:type w:val="continuous"/>
          <w:pgSz w:w="12240" w:h="15840"/>
          <w:pgMar w:top="1440" w:right="1440" w:bottom="1440" w:left="1440" w:header="1440" w:footer="1440" w:gutter="0"/>
          <w:cols w:space="720"/>
          <w:noEndnote/>
          <w:docGrid w:linePitch="326"/>
        </w:sectPr>
      </w:pPr>
    </w:p>
    <w:p w:rsidR="00BA4975" w:rsidRPr="00534155" w:rsidRDefault="00BA4975" w:rsidP="00BA497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lastRenderedPageBreak/>
        <w:t xml:space="preserve">A majority of the Court of Appeals panel held that the trial court abused its discretion in allowing the jury to consider the evidence of the post-taking zoning change and that the error was not harmless. </w:t>
      </w:r>
      <w:r w:rsidR="00E14BC2">
        <w:rPr>
          <w:rFonts w:ascii="Times New Roman" w:eastAsia="MS PMincho" w:hAnsi="Times New Roman" w:cs="Times New Roman"/>
        </w:rPr>
        <w:t xml:space="preserve">It </w:t>
      </w:r>
      <w:r w:rsidRPr="00534155">
        <w:rPr>
          <w:rFonts w:ascii="Times New Roman" w:eastAsia="MS PMincho" w:hAnsi="Times New Roman" w:cs="Times New Roman"/>
        </w:rPr>
        <w:t>reversed the award in favor of the property owner and rem</w:t>
      </w:r>
      <w:r w:rsidR="00E14BC2">
        <w:rPr>
          <w:rFonts w:ascii="Times New Roman" w:eastAsia="MS PMincho" w:hAnsi="Times New Roman" w:cs="Times New Roman"/>
        </w:rPr>
        <w:t xml:space="preserve">anded for further proceedings. </w:t>
      </w:r>
      <w:r w:rsidRPr="00534155">
        <w:rPr>
          <w:rFonts w:ascii="Times New Roman" w:eastAsia="MS PMincho" w:hAnsi="Times New Roman" w:cs="Times New Roman"/>
        </w:rPr>
        <w:t>The dissenting Court of Appeals judge opined that the evidence was prop</w:t>
      </w:r>
      <w:r w:rsidR="00E14BC2">
        <w:rPr>
          <w:rFonts w:ascii="Times New Roman" w:eastAsia="MS PMincho" w:hAnsi="Times New Roman" w:cs="Times New Roman"/>
        </w:rPr>
        <w:t>erly admitted and that because the state</w:t>
      </w:r>
      <w:r w:rsidRPr="00534155">
        <w:rPr>
          <w:rFonts w:ascii="Times New Roman" w:eastAsia="MS PMincho" w:hAnsi="Times New Roman" w:cs="Times New Roman"/>
        </w:rPr>
        <w:t xml:space="preserve"> </w:t>
      </w:r>
      <w:r w:rsidR="00E14BC2">
        <w:rPr>
          <w:rFonts w:ascii="Times New Roman" w:eastAsia="MS PMincho" w:hAnsi="Times New Roman" w:cs="Times New Roman"/>
        </w:rPr>
        <w:t>had not pled enhancement in its c</w:t>
      </w:r>
      <w:r w:rsidRPr="00534155">
        <w:rPr>
          <w:rFonts w:ascii="Times New Roman" w:eastAsia="MS PMincho" w:hAnsi="Times New Roman" w:cs="Times New Roman"/>
        </w:rPr>
        <w:t xml:space="preserve">omplaint, the trial court also properly rejected </w:t>
      </w:r>
      <w:r w:rsidR="00E14BC2">
        <w:rPr>
          <w:rFonts w:ascii="Times New Roman" w:eastAsia="MS PMincho" w:hAnsi="Times New Roman" w:cs="Times New Roman"/>
        </w:rPr>
        <w:t>the state’s</w:t>
      </w:r>
      <w:r w:rsidRPr="00534155">
        <w:rPr>
          <w:rFonts w:ascii="Times New Roman" w:eastAsia="MS PMincho" w:hAnsi="Times New Roman" w:cs="Times New Roman"/>
        </w:rPr>
        <w:t xml:space="preserve"> alternative request to introduce evidence that the rezoning was directly attributable to the condemnation proceedings.  </w:t>
      </w:r>
    </w:p>
    <w:p w:rsidR="00BA4975" w:rsidRDefault="00BA4975" w:rsidP="00E14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The Supreme Court affirmed, determining that the evidence of post-condemnation rezoning was inadmissible, that </w:t>
      </w:r>
      <w:r w:rsidR="00E14BC2">
        <w:rPr>
          <w:rFonts w:ascii="Times New Roman" w:eastAsia="MS PMincho" w:hAnsi="Times New Roman" w:cs="Times New Roman"/>
        </w:rPr>
        <w:t>the state</w:t>
      </w:r>
      <w:r w:rsidRPr="00534155">
        <w:rPr>
          <w:rFonts w:ascii="Times New Roman" w:eastAsia="MS PMincho" w:hAnsi="Times New Roman" w:cs="Times New Roman"/>
        </w:rPr>
        <w:t xml:space="preserve"> was prejudiced, and that the trial court compounded the error when it refused to allow </w:t>
      </w:r>
      <w:r w:rsidR="00E14BC2">
        <w:rPr>
          <w:rFonts w:ascii="Times New Roman" w:eastAsia="MS PMincho" w:hAnsi="Times New Roman" w:cs="Times New Roman"/>
        </w:rPr>
        <w:t>the state</w:t>
      </w:r>
      <w:r w:rsidRPr="00534155">
        <w:rPr>
          <w:rFonts w:ascii="Times New Roman" w:eastAsia="MS PMincho" w:hAnsi="Times New Roman" w:cs="Times New Roman"/>
        </w:rPr>
        <w:t xml:space="preserve"> to rebut the post-taking evidence by demonstrating that the rezoning was directly attributab</w:t>
      </w:r>
      <w:r w:rsidR="00E14BC2">
        <w:rPr>
          <w:rFonts w:ascii="Times New Roman" w:eastAsia="MS PMincho" w:hAnsi="Times New Roman" w:cs="Times New Roman"/>
        </w:rPr>
        <w:t xml:space="preserve">le to the condemnation itself. </w:t>
      </w:r>
      <w:r w:rsidRPr="00534155">
        <w:rPr>
          <w:rFonts w:ascii="Times New Roman" w:eastAsia="MS PMincho" w:hAnsi="Times New Roman" w:cs="Times New Roman"/>
        </w:rPr>
        <w:t xml:space="preserve">The majority noted that any information regarding the likelihood of a rezoning available </w:t>
      </w:r>
      <w:r w:rsidRPr="00534155">
        <w:rPr>
          <w:rFonts w:ascii="Times New Roman" w:eastAsia="MS PMincho" w:hAnsi="Times New Roman" w:cs="Times New Roman"/>
          <w:i/>
          <w:iCs/>
        </w:rPr>
        <w:t>at the time of the taking</w:t>
      </w:r>
      <w:r w:rsidR="00E14BC2">
        <w:rPr>
          <w:rFonts w:ascii="Times New Roman" w:eastAsia="MS PMincho" w:hAnsi="Times New Roman" w:cs="Times New Roman"/>
        </w:rPr>
        <w:t xml:space="preserve"> was admissible. </w:t>
      </w:r>
      <w:r w:rsidRPr="00534155">
        <w:rPr>
          <w:rFonts w:ascii="Times New Roman" w:eastAsia="MS PMincho" w:hAnsi="Times New Roman" w:cs="Times New Roman"/>
        </w:rPr>
        <w:t>Thus, the property owners were properly permitted to present evidence that they had met with city officials regarding their plans, that officials had expressed a willingness to make the required zoning changes, that the local chamber and other members of the business community supported the proposed zoning change, and that the municipality’s economic development coordinator did not believe that the property was appropriate</w:t>
      </w:r>
      <w:r w:rsidR="00E14BC2">
        <w:rPr>
          <w:rFonts w:ascii="Times New Roman" w:eastAsia="MS PMincho" w:hAnsi="Times New Roman" w:cs="Times New Roman"/>
        </w:rPr>
        <w:t xml:space="preserve"> for single-family development.</w:t>
      </w:r>
      <w:r w:rsidRPr="00534155">
        <w:rPr>
          <w:rFonts w:ascii="Times New Roman" w:eastAsia="MS PMincho" w:hAnsi="Times New Roman" w:cs="Times New Roman"/>
        </w:rPr>
        <w:t xml:space="preserve"> However, in contrast to this evidence, the post-taking event of the rezoning was irrelevant because it did not make the fact of consequence – that information regarding the reasonable possibility of a zoning change may have </w:t>
      </w:r>
      <w:r w:rsidR="00294955" w:rsidRPr="00534155">
        <w:rPr>
          <w:rFonts w:ascii="Times New Roman" w:eastAsia="MS PMincho" w:hAnsi="Times New Roman" w:cs="Times New Roman"/>
        </w:rPr>
        <w:t>affected</w:t>
      </w:r>
      <w:r w:rsidRPr="00534155">
        <w:rPr>
          <w:rFonts w:ascii="Times New Roman" w:eastAsia="MS PMincho" w:hAnsi="Times New Roman" w:cs="Times New Roman"/>
        </w:rPr>
        <w:t xml:space="preserve"> the market value of the property on the date of the taking – m</w:t>
      </w:r>
      <w:r w:rsidR="00E14BC2">
        <w:rPr>
          <w:rFonts w:ascii="Times New Roman" w:eastAsia="MS PMincho" w:hAnsi="Times New Roman" w:cs="Times New Roman"/>
        </w:rPr>
        <w:t xml:space="preserve">ore probable or less probable. </w:t>
      </w:r>
      <w:r w:rsidRPr="00534155">
        <w:rPr>
          <w:rFonts w:ascii="Times New Roman" w:eastAsia="MS PMincho" w:hAnsi="Times New Roman" w:cs="Times New Roman"/>
        </w:rPr>
        <w:t xml:space="preserve">The majority acknowledged that some </w:t>
      </w:r>
      <w:r w:rsidRPr="00534155">
        <w:rPr>
          <w:rFonts w:ascii="Times New Roman" w:eastAsia="MS PMincho" w:hAnsi="Times New Roman" w:cs="Times New Roman"/>
        </w:rPr>
        <w:lastRenderedPageBreak/>
        <w:t>courts have permitted the introduction of post-taking rezoning evidence, but it rejected the reas</w:t>
      </w:r>
      <w:r w:rsidR="00E14BC2">
        <w:rPr>
          <w:rFonts w:ascii="Times New Roman" w:eastAsia="MS PMincho" w:hAnsi="Times New Roman" w:cs="Times New Roman"/>
        </w:rPr>
        <w:t>oning employed by those courts.</w:t>
      </w:r>
      <w:r w:rsidRPr="00534155">
        <w:rPr>
          <w:rFonts w:ascii="Times New Roman" w:eastAsia="MS PMincho" w:hAnsi="Times New Roman" w:cs="Times New Roman"/>
        </w:rPr>
        <w:t xml:space="preserve"> In her concurring opinion, Ju</w:t>
      </w:r>
      <w:r w:rsidR="00E14BC2">
        <w:rPr>
          <w:rFonts w:ascii="Times New Roman" w:eastAsia="MS PMincho" w:hAnsi="Times New Roman" w:cs="Times New Roman"/>
        </w:rPr>
        <w:t>stice</w:t>
      </w:r>
      <w:r w:rsidRPr="00534155">
        <w:rPr>
          <w:rFonts w:ascii="Times New Roman" w:eastAsia="MS PMincho" w:hAnsi="Times New Roman" w:cs="Times New Roman"/>
        </w:rPr>
        <w:t xml:space="preserve"> Kelly determined that the evidence of rezoning was legally relevant but was also unfairly prejudicial such that is</w:t>
      </w:r>
      <w:r w:rsidR="00E14BC2">
        <w:rPr>
          <w:rFonts w:ascii="Times New Roman" w:eastAsia="MS PMincho" w:hAnsi="Times New Roman" w:cs="Times New Roman"/>
        </w:rPr>
        <w:t xml:space="preserve"> should not have been admitted.</w:t>
      </w:r>
      <w:r w:rsidRPr="00534155">
        <w:rPr>
          <w:rFonts w:ascii="Times New Roman" w:eastAsia="MS PMincho" w:hAnsi="Times New Roman" w:cs="Times New Roman"/>
        </w:rPr>
        <w:t xml:space="preserve"> In her view, the prejudicial </w:t>
      </w:r>
      <w:r w:rsidR="00E14BC2">
        <w:rPr>
          <w:rFonts w:ascii="Times New Roman" w:eastAsia="MS PMincho" w:hAnsi="Times New Roman" w:cs="Times New Roman"/>
        </w:rPr>
        <w:t>e</w:t>
      </w:r>
      <w:r w:rsidRPr="00534155">
        <w:rPr>
          <w:rFonts w:ascii="Times New Roman" w:eastAsia="MS PMincho" w:hAnsi="Times New Roman" w:cs="Times New Roman"/>
        </w:rPr>
        <w:t>ffect of evidence of subsequent rezoning on the determination of fair market value substant</w:t>
      </w:r>
      <w:r w:rsidR="00E14BC2">
        <w:rPr>
          <w:rFonts w:ascii="Times New Roman" w:eastAsia="MS PMincho" w:hAnsi="Times New Roman" w:cs="Times New Roman"/>
        </w:rPr>
        <w:t xml:space="preserve">ially outweighed its relevance. </w:t>
      </w:r>
      <w:r w:rsidRPr="00534155">
        <w:rPr>
          <w:rFonts w:ascii="Times New Roman" w:eastAsia="MS PMincho" w:hAnsi="Times New Roman" w:cs="Times New Roman"/>
        </w:rPr>
        <w:t xml:space="preserve">The dissenting opinions would have affirmed the lower court’s determination that the evidence of post-taking rezoning is relevant and admissible but then would have held that the trial court abused its discretion in prohibiting </w:t>
      </w:r>
      <w:r w:rsidR="00E14BC2">
        <w:rPr>
          <w:rFonts w:ascii="Times New Roman" w:eastAsia="MS PMincho" w:hAnsi="Times New Roman" w:cs="Times New Roman"/>
        </w:rPr>
        <w:t>the state</w:t>
      </w:r>
      <w:r w:rsidRPr="00534155">
        <w:rPr>
          <w:rFonts w:ascii="Times New Roman" w:eastAsia="MS PMincho" w:hAnsi="Times New Roman" w:cs="Times New Roman"/>
        </w:rPr>
        <w:t xml:space="preserve"> from introducing evidence that the post-taking rezoning was caused by the taking.</w:t>
      </w:r>
    </w:p>
    <w:p w:rsidR="00CB1D92" w:rsidRPr="00534155" w:rsidRDefault="00BA4975" w:rsidP="00E14BC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Pr>
          <w:rFonts w:ascii="Times New Roman" w:hAnsi="Times New Roman" w:cs="Times New Roman"/>
        </w:rPr>
        <w:t>Other jurisdictions, including Arizona, California, and Florida have indicated that evidence of a reasonable probability of rezoning can be considered as evidence.</w:t>
      </w:r>
      <w:r w:rsidRPr="00E14BC2">
        <w:rPr>
          <w:rStyle w:val="FootnoteReference"/>
          <w:rFonts w:ascii="Times New Roman" w:hAnsi="Times New Roman" w:cs="Times New Roman"/>
          <w:vertAlign w:val="superscript"/>
        </w:rPr>
        <w:footnoteReference w:id="180"/>
      </w:r>
      <w:r>
        <w:rPr>
          <w:rFonts w:ascii="Times New Roman" w:hAnsi="Times New Roman" w:cs="Times New Roman"/>
        </w:rPr>
        <w:t xml:space="preserve"> This indicates evidence of actual reasoning could be</w:t>
      </w:r>
      <w:r w:rsidR="00E14BC2">
        <w:rPr>
          <w:rFonts w:ascii="Times New Roman" w:hAnsi="Times New Roman" w:cs="Times New Roman"/>
        </w:rPr>
        <w:t xml:space="preserve"> admitted to prove the likelihood</w:t>
      </w:r>
      <w:r>
        <w:rPr>
          <w:rFonts w:ascii="Times New Roman" w:hAnsi="Times New Roman" w:cs="Times New Roman"/>
        </w:rPr>
        <w:t xml:space="preserve"> of rezoning at the time of taking. </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b/>
          <w:bCs/>
        </w:rPr>
      </w:pPr>
      <w:r w:rsidRPr="00534155">
        <w:rPr>
          <w:rFonts w:ascii="Times New Roman" w:eastAsia="MS PMincho" w:hAnsi="Times New Roman" w:cs="Times New Roman"/>
          <w:b/>
          <w:bCs/>
        </w:rPr>
        <w:t>IV.</w:t>
      </w:r>
      <w:r w:rsidRPr="00534155">
        <w:rPr>
          <w:rFonts w:ascii="Times New Roman" w:eastAsia="MS PMincho" w:hAnsi="Times New Roman" w:cs="Times New Roman"/>
          <w:b/>
          <w:bCs/>
        </w:rPr>
        <w:tab/>
        <w:t>Retrospective Evidence in Other Contexts</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As courts continue to address the issues of post-taking rezoning and post-taking sales, it is important to consider the other contexts in which the courts have analyzed the admissibil</w:t>
      </w:r>
      <w:r w:rsidR="00115C51">
        <w:rPr>
          <w:rFonts w:ascii="Times New Roman" w:eastAsia="MS PMincho" w:hAnsi="Times New Roman" w:cs="Times New Roman"/>
        </w:rPr>
        <w:t xml:space="preserve">ity of retrospective evidence. </w:t>
      </w:r>
      <w:r w:rsidRPr="00534155">
        <w:rPr>
          <w:rFonts w:ascii="Times New Roman" w:eastAsia="MS PMincho" w:hAnsi="Times New Roman" w:cs="Times New Roman"/>
        </w:rPr>
        <w:t xml:space="preserve">In particular, there are other areas in which courts have reached a general consensus, such as in the area of liquidated damages and subsequent remedial measures in personal injury cases. </w:t>
      </w:r>
    </w:p>
    <w:p w:rsidR="00EE0FF3" w:rsidRDefault="00EE0FF3">
      <w:pPr>
        <w:widowControl/>
        <w:autoSpaceDE/>
        <w:autoSpaceDN/>
        <w:adjustRightInd/>
        <w:spacing w:after="200" w:line="276" w:lineRule="auto"/>
        <w:rPr>
          <w:rFonts w:ascii="Times New Roman" w:eastAsia="MS PMincho" w:hAnsi="Times New Roman" w:cs="Times New Roman"/>
          <w:b/>
          <w:bCs/>
        </w:rPr>
      </w:pPr>
      <w:r>
        <w:rPr>
          <w:rFonts w:ascii="Times New Roman" w:eastAsia="MS PMincho" w:hAnsi="Times New Roman" w:cs="Times New Roman"/>
          <w:b/>
          <w:bCs/>
        </w:rPr>
        <w:br w:type="page"/>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b/>
          <w:bCs/>
        </w:rPr>
      </w:pPr>
      <w:r w:rsidRPr="00534155">
        <w:rPr>
          <w:rFonts w:ascii="Times New Roman" w:eastAsia="MS PMincho" w:hAnsi="Times New Roman" w:cs="Times New Roman"/>
          <w:b/>
          <w:bCs/>
        </w:rPr>
        <w:lastRenderedPageBreak/>
        <w:t>A.</w:t>
      </w:r>
      <w:r w:rsidRPr="00534155">
        <w:rPr>
          <w:rFonts w:ascii="Times New Roman" w:eastAsia="MS PMincho" w:hAnsi="Times New Roman" w:cs="Times New Roman"/>
          <w:b/>
          <w:bCs/>
        </w:rPr>
        <w:tab/>
        <w:t>Liquidated Damages</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Many contracts have incorporated liquidated damage clauses as a means of approximating the value of a breach of the given contract, and as a means of limiting the liability to whic</w:t>
      </w:r>
      <w:r w:rsidR="00446B31">
        <w:rPr>
          <w:rFonts w:ascii="Times New Roman" w:eastAsia="MS PMincho" w:hAnsi="Times New Roman" w:cs="Times New Roman"/>
        </w:rPr>
        <w:t>h the parties may be subjected.</w:t>
      </w:r>
      <w:r w:rsidRPr="00534155">
        <w:rPr>
          <w:rFonts w:ascii="Times New Roman" w:eastAsia="MS PMincho" w:hAnsi="Times New Roman" w:cs="Times New Roman"/>
        </w:rPr>
        <w:t xml:space="preserve"> Generally, such contracts will be upheld by the courts as long as the clause makes an actual attempt to evaluate the potential damage, and not simply </w:t>
      </w:r>
      <w:r w:rsidR="00446B31">
        <w:rPr>
          <w:rFonts w:ascii="Times New Roman" w:eastAsia="MS PMincho" w:hAnsi="Times New Roman" w:cs="Times New Roman"/>
        </w:rPr>
        <w:t xml:space="preserve">to punish the breaching party. </w:t>
      </w:r>
      <w:r w:rsidRPr="00534155">
        <w:rPr>
          <w:rFonts w:ascii="Times New Roman" w:eastAsia="MS PMincho" w:hAnsi="Times New Roman" w:cs="Times New Roman"/>
        </w:rPr>
        <w:t xml:space="preserve">As noted in the treatise </w:t>
      </w:r>
      <w:r w:rsidRPr="00534155">
        <w:rPr>
          <w:rFonts w:ascii="Times New Roman" w:eastAsia="MS PMincho" w:hAnsi="Times New Roman" w:cs="Times New Roman"/>
          <w:i/>
          <w:iCs/>
        </w:rPr>
        <w:t>Corbin on Contracts</w:t>
      </w:r>
      <w:r w:rsidRPr="00534155">
        <w:rPr>
          <w:rStyle w:val="FootnoteReference"/>
          <w:rFonts w:ascii="Times New Roman" w:eastAsia="MS PMincho" w:hAnsi="Times New Roman" w:cs="Times New Roman"/>
          <w:vertAlign w:val="superscript"/>
        </w:rPr>
        <w:footnoteReference w:id="181"/>
      </w:r>
      <w:r w:rsidR="00446B31">
        <w:rPr>
          <w:rFonts w:ascii="Times New Roman" w:eastAsia="MS PMincho" w:hAnsi="Times New Roman" w:cs="Times New Roman"/>
          <w:iCs/>
        </w:rPr>
        <w:t>,</w:t>
      </w:r>
      <w:r w:rsidRPr="00534155">
        <w:rPr>
          <w:rFonts w:ascii="Times New Roman" w:eastAsia="MS PMincho" w:hAnsi="Times New Roman" w:cs="Times New Roman"/>
        </w:rPr>
        <w:t xml:space="preserve"> “[t]here are some cases in which the court has refused to enforce the agreement to pay a specified sum on the express ground that the actual injury done was either nothing at all or was not hard to determine and was very much less than the agreed sum.”</w:t>
      </w:r>
      <w:r w:rsidRPr="00534155">
        <w:rPr>
          <w:rStyle w:val="FootnoteReference"/>
          <w:rFonts w:ascii="Times New Roman" w:eastAsia="MS PMincho" w:hAnsi="Times New Roman" w:cs="Times New Roman"/>
          <w:vertAlign w:val="superscript"/>
        </w:rPr>
        <w:footnoteReference w:id="182"/>
      </w:r>
      <w:r w:rsidR="00446B31">
        <w:rPr>
          <w:rFonts w:ascii="Times New Roman" w:eastAsia="MS PMincho" w:hAnsi="Times New Roman" w:cs="Times New Roman"/>
        </w:rPr>
        <w:t xml:space="preserve"> </w:t>
      </w:r>
      <w:r w:rsidRPr="00534155">
        <w:rPr>
          <w:rFonts w:ascii="Times New Roman" w:eastAsia="MS PMincho" w:hAnsi="Times New Roman" w:cs="Times New Roman"/>
          <w:i/>
          <w:iCs/>
        </w:rPr>
        <w:t>Corbin</w:t>
      </w:r>
      <w:r w:rsidR="00446B31">
        <w:rPr>
          <w:rFonts w:ascii="Times New Roman" w:eastAsia="MS PMincho" w:hAnsi="Times New Roman" w:cs="Times New Roman"/>
        </w:rPr>
        <w:t xml:space="preserve"> also notes,</w:t>
      </w:r>
    </w:p>
    <w:p w:rsidR="001C6202" w:rsidRPr="00534155" w:rsidRDefault="001C6202" w:rsidP="00CB1D9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When the parties have made a reasonable forecast as to just compensation for an injury that later in fact occurs and that is very difficult of accurate estimation, the defendant should never be allowed to introduce evidence the purpose of which is to substitute the estimate of a jury for the prior reasonable estimate of the parties.  But the defendant should be allowed to show that there has in fact been no injury at all, or that the injury is not the one that the parties in fact estimated in advance, or that the injury that has occurred is not at all difficult of accurate estimation and that the pre-estimate is in material error.</w:t>
      </w:r>
      <w:r w:rsidRPr="00534155">
        <w:rPr>
          <w:rStyle w:val="FootnoteReference"/>
          <w:rFonts w:ascii="Times New Roman" w:eastAsia="MS PMincho" w:hAnsi="Times New Roman" w:cs="Times New Roman"/>
          <w:vertAlign w:val="superscript"/>
        </w:rPr>
        <w:footnoteReference w:id="183"/>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rPr>
      </w:pP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Indeed the rationale of permitting retrospective evidence to be admitted in liquidated damages cases closely parallels the issue of retrospective evidence in eminent domain cases</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The liquidated damage clauses are permitted in the first place because they are an attempt to estimate the actual damages that would be expected in the event of a breach of the contract, just as some courts have held that market value in eminent domain cases is utilized in an attempt to capture the intrinsi</w:t>
      </w:r>
      <w:r w:rsidR="00446B31">
        <w:rPr>
          <w:rFonts w:ascii="Times New Roman" w:eastAsia="MS PMincho" w:hAnsi="Times New Roman" w:cs="Times New Roman"/>
        </w:rPr>
        <w:t xml:space="preserve">c value of the property taken. </w:t>
      </w:r>
      <w:r w:rsidRPr="00534155">
        <w:rPr>
          <w:rFonts w:ascii="Times New Roman" w:eastAsia="MS PMincho" w:hAnsi="Times New Roman" w:cs="Times New Roman"/>
        </w:rPr>
        <w:t xml:space="preserve">In such cases, therefore, if it can be conclusively proven </w:t>
      </w:r>
      <w:r w:rsidRPr="00534155">
        <w:rPr>
          <w:rFonts w:ascii="Times New Roman" w:eastAsia="MS PMincho" w:hAnsi="Times New Roman" w:cs="Times New Roman"/>
        </w:rPr>
        <w:lastRenderedPageBreak/>
        <w:t>that the original belief was not a reasonable representation of the actual harm caused, then it would not be just to permit damages for the incorrect amount.</w:t>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b/>
          <w:bCs/>
        </w:rPr>
      </w:pPr>
      <w:r w:rsidRPr="00534155">
        <w:rPr>
          <w:rFonts w:ascii="Times New Roman" w:eastAsia="MS PMincho" w:hAnsi="Times New Roman" w:cs="Times New Roman"/>
          <w:b/>
          <w:bCs/>
        </w:rPr>
        <w:t>B.</w:t>
      </w:r>
      <w:r w:rsidRPr="00534155">
        <w:rPr>
          <w:rFonts w:ascii="Times New Roman" w:eastAsia="MS PMincho" w:hAnsi="Times New Roman" w:cs="Times New Roman"/>
          <w:b/>
          <w:bCs/>
        </w:rPr>
        <w:tab/>
        <w:t>Remedial Measures in Personal Injury Cases</w:t>
      </w:r>
    </w:p>
    <w:p w:rsidR="001C6202" w:rsidRPr="00534155" w:rsidRDefault="001C6202" w:rsidP="005146CF">
      <w:pPr>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Another situation where courts have addressed the admissibility of retrospective evidence is in the area of subsequent remedial measures following an injury or harm</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Indeed, Federal Rule of Evid</w:t>
      </w:r>
      <w:r w:rsidR="00446B31">
        <w:rPr>
          <w:rFonts w:ascii="Times New Roman" w:eastAsia="MS PMincho" w:hAnsi="Times New Roman" w:cs="Times New Roman"/>
        </w:rPr>
        <w:t>ence 407 explicitly states,</w:t>
      </w:r>
    </w:p>
    <w:p w:rsidR="001C6202" w:rsidRPr="00534155" w:rsidRDefault="001C6202" w:rsidP="00446B3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jc w:val="both"/>
        <w:rPr>
          <w:rFonts w:ascii="Times New Roman" w:eastAsia="MS PMincho" w:hAnsi="Times New Roman" w:cs="Times New Roman"/>
        </w:rPr>
      </w:pPr>
      <w:r w:rsidRPr="00534155">
        <w:rPr>
          <w:rFonts w:ascii="Times New Roman" w:eastAsia="MS PMincho" w:hAnsi="Times New Roman" w:cs="Times New Roman"/>
        </w:rPr>
        <w:t>When, after an injury or harm allegedly caused by an event, measures are taken that, if taken previously, would have made the injury or harm less likely to occur, evidence of the subsequent measures is not admissible to prove negligence, culpable conduct, a defect in a product, a defect in a product’s design, or a need for a warning or instruction. . . .</w:t>
      </w:r>
      <w:r w:rsidRPr="00534155">
        <w:rPr>
          <w:rStyle w:val="FootnoteReference"/>
          <w:rFonts w:ascii="Times New Roman" w:eastAsia="MS PMincho" w:hAnsi="Times New Roman" w:cs="Times New Roman"/>
          <w:vertAlign w:val="superscript"/>
        </w:rPr>
        <w:footnoteReference w:id="184"/>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Because most states have adopted some variation of the Federal Rules of Evidence, this explicit rejection of the admissibility of subsequent remedial measures applies to proceeding</w:t>
      </w:r>
      <w:r w:rsidR="00446B31">
        <w:rPr>
          <w:rFonts w:ascii="Times New Roman" w:eastAsia="MS PMincho" w:hAnsi="Times New Roman" w:cs="Times New Roman"/>
        </w:rPr>
        <w:t>s in most state courts as well.</w:t>
      </w:r>
      <w:r w:rsidRPr="00534155">
        <w:rPr>
          <w:rFonts w:ascii="Times New Roman" w:eastAsia="MS PMincho" w:hAnsi="Times New Roman" w:cs="Times New Roman"/>
        </w:rPr>
        <w:t xml:space="preserve"> It has been noted, however, that although the rule has been codified in Rule 407 to avoid the uneven application of the common law doctrine in this area, “it appears that the Rule against admitting evidence of subsequent repairs has not regained its vitality and many still view it as a rule of inclusion rather than inclusion.”</w:t>
      </w:r>
      <w:r w:rsidRPr="00534155">
        <w:rPr>
          <w:rStyle w:val="FootnoteReference"/>
          <w:rFonts w:ascii="Times New Roman" w:eastAsia="MS PMincho" w:hAnsi="Times New Roman" w:cs="Times New Roman"/>
          <w:vertAlign w:val="superscript"/>
        </w:rPr>
        <w:footnoteReference w:id="185"/>
      </w:r>
      <w:r w:rsidR="00294955" w:rsidRPr="00534155">
        <w:rPr>
          <w:rFonts w:ascii="Times New Roman" w:eastAsia="MS PMincho" w:hAnsi="Times New Roman" w:cs="Times New Roman"/>
        </w:rPr>
        <w:t xml:space="preserve"> It has also been noted that the Rule includes exceptions that</w:t>
      </w:r>
      <w:r w:rsidR="00294955">
        <w:rPr>
          <w:rFonts w:ascii="Times New Roman" w:eastAsia="MS PMincho" w:hAnsi="Times New Roman" w:cs="Times New Roman"/>
        </w:rPr>
        <w:t xml:space="preserve"> are non-exclusive</w:t>
      </w:r>
      <w:r w:rsidR="00294955" w:rsidRPr="00534155">
        <w:rPr>
          <w:rStyle w:val="FootnoteReference"/>
          <w:rFonts w:ascii="Times New Roman" w:eastAsia="MS PMincho" w:hAnsi="Times New Roman" w:cs="Times New Roman"/>
          <w:vertAlign w:val="superscript"/>
        </w:rPr>
        <w:footnoteReference w:id="186"/>
      </w:r>
      <w:r w:rsidR="00294955">
        <w:rPr>
          <w:rFonts w:ascii="Times New Roman" w:eastAsia="MS PMincho" w:hAnsi="Times New Roman" w:cs="Times New Roman"/>
        </w:rPr>
        <w:t>,</w:t>
      </w:r>
      <w:r w:rsidR="00294955" w:rsidRPr="00534155">
        <w:rPr>
          <w:rFonts w:ascii="Times New Roman" w:eastAsia="MS PMincho" w:hAnsi="Times New Roman" w:cs="Times New Roman"/>
        </w:rPr>
        <w:t xml:space="preserve"> and that the exception for impeachment evidence encourages gamesmanship on the part of attorneys.</w:t>
      </w:r>
      <w:r w:rsidR="00294955" w:rsidRPr="00534155">
        <w:rPr>
          <w:rStyle w:val="FootnoteReference"/>
          <w:rFonts w:ascii="Times New Roman" w:eastAsia="MS PMincho" w:hAnsi="Times New Roman" w:cs="Times New Roman"/>
          <w:vertAlign w:val="superscript"/>
        </w:rPr>
        <w:footnoteReference w:id="187"/>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The justification for the inadmissibility of subsequent remedial measures primarily has its basis in public policy, in that:</w:t>
      </w:r>
    </w:p>
    <w:p w:rsidR="001C6202" w:rsidRPr="00534155" w:rsidRDefault="001C6202" w:rsidP="00446B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eastAsia="MS PMincho" w:hAnsi="Times New Roman" w:cs="Times New Roman"/>
        </w:rPr>
      </w:pPr>
      <w:r w:rsidRPr="00534155">
        <w:rPr>
          <w:rFonts w:ascii="Times New Roman" w:eastAsia="MS PMincho" w:hAnsi="Times New Roman" w:cs="Times New Roman"/>
        </w:rPr>
        <w:t xml:space="preserve">Rule 407 is based on the policy of encouraging potential defendants to remedy hazardous conditions without fear that their actions will be used as evidence </w:t>
      </w:r>
      <w:r w:rsidRPr="00534155">
        <w:rPr>
          <w:rFonts w:ascii="Times New Roman" w:eastAsia="MS PMincho" w:hAnsi="Times New Roman" w:cs="Times New Roman"/>
        </w:rPr>
        <w:lastRenderedPageBreak/>
        <w:t>against them</w:t>
      </w:r>
      <w:r w:rsidR="00294955" w:rsidRPr="00534155">
        <w:rPr>
          <w:rFonts w:ascii="Times New Roman" w:eastAsia="MS PMincho" w:hAnsi="Times New Roman" w:cs="Times New Roman"/>
        </w:rPr>
        <w:t xml:space="preserve">. </w:t>
      </w:r>
      <w:r w:rsidRPr="00534155">
        <w:rPr>
          <w:rFonts w:ascii="Times New Roman" w:eastAsia="MS PMincho" w:hAnsi="Times New Roman" w:cs="Times New Roman"/>
        </w:rPr>
        <w:t>The extrinsic policy basis for Rule 407 is that allowing evidence of subsequent remedial measures would discourage owners from improving the condition causing the injury because of their fear of the evidential use of such improvement to their disadvantage.</w:t>
      </w:r>
      <w:r w:rsidRPr="00534155">
        <w:rPr>
          <w:rStyle w:val="FootnoteReference"/>
          <w:rFonts w:ascii="Times New Roman" w:eastAsia="MS PMincho" w:hAnsi="Times New Roman" w:cs="Times New Roman"/>
          <w:vertAlign w:val="superscript"/>
        </w:rPr>
        <w:footnoteReference w:id="188"/>
      </w:r>
    </w:p>
    <w:p w:rsidR="001C6202" w:rsidRPr="00534155" w:rsidRDefault="001C6202"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MS PMincho"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In addition to the public policy rationale for the Rule, it has also been argued that:</w:t>
      </w:r>
    </w:p>
    <w:p w:rsidR="001C6202" w:rsidRPr="00534155" w:rsidRDefault="001C6202" w:rsidP="00446B3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rFonts w:ascii="Times New Roman" w:eastAsia="MS PMincho" w:hAnsi="Times New Roman" w:cs="Times New Roman"/>
        </w:rPr>
      </w:pPr>
      <w:r w:rsidRPr="00534155">
        <w:rPr>
          <w:rFonts w:ascii="Times New Roman" w:eastAsia="MS PMincho" w:hAnsi="Times New Roman" w:cs="Times New Roman"/>
        </w:rPr>
        <w:t>Evidence of subsequent remedial measures is incompetent or inadmissible because the taking of such precautions against the future is not to be construed as an admission of responsibility for the past, has no legitimate tendency to prove that the defendant had been negligent before the accident happened, and is calculated to distract the minds of the jury from the real issue and to create a prejudice against the defendant.</w:t>
      </w:r>
      <w:r w:rsidRPr="00534155">
        <w:rPr>
          <w:rStyle w:val="FootnoteReference"/>
          <w:rFonts w:ascii="Times New Roman" w:eastAsia="MS PMincho" w:hAnsi="Times New Roman" w:cs="Times New Roman"/>
          <w:vertAlign w:val="superscript"/>
        </w:rPr>
        <w:footnoteReference w:id="189"/>
      </w:r>
    </w:p>
    <w:p w:rsidR="001C6202" w:rsidRPr="00534155" w:rsidRDefault="001C6202" w:rsidP="005146CF">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MS PMincho" w:hAnsi="Times New Roman" w:cs="Times New Roman"/>
        </w:rPr>
      </w:pP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rPr>
      </w:pPr>
      <w:r w:rsidRPr="00534155">
        <w:rPr>
          <w:rFonts w:ascii="Times New Roman" w:eastAsia="MS PMincho" w:hAnsi="Times New Roman" w:cs="Times New Roman"/>
        </w:rPr>
        <w:t>Thus, while public policy plays a large role in the manner in which courts have interpreted Rule 407, they have also performed a more formal Rule 403 analysis, finding that the prejudice against the defendant will generally outweigh the probative value of such evid</w:t>
      </w:r>
      <w:r w:rsidR="00446B31">
        <w:rPr>
          <w:rFonts w:ascii="Times New Roman" w:eastAsia="MS PMincho" w:hAnsi="Times New Roman" w:cs="Times New Roman"/>
        </w:rPr>
        <w:t xml:space="preserve">ence in the minds of the jury. </w:t>
      </w:r>
      <w:r w:rsidRPr="00534155">
        <w:rPr>
          <w:rFonts w:ascii="Times New Roman" w:eastAsia="MS PMincho" w:hAnsi="Times New Roman" w:cs="Times New Roman"/>
        </w:rPr>
        <w:t>While there may be important policy issues in the eminent domain context as with subsequent remedial measures, courts must consider whether the parallel between the two categories of retrospective evidence warrants similar treatment.</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rPr>
      </w:pPr>
      <w:r w:rsidRPr="00534155">
        <w:rPr>
          <w:rFonts w:ascii="Times New Roman" w:eastAsia="MS PMincho" w:hAnsi="Times New Roman" w:cs="Times New Roman"/>
          <w:b/>
          <w:bCs/>
        </w:rPr>
        <w:t>V.</w:t>
      </w:r>
      <w:r w:rsidRPr="00534155">
        <w:rPr>
          <w:rFonts w:ascii="Times New Roman" w:eastAsia="MS PMincho" w:hAnsi="Times New Roman" w:cs="Times New Roman"/>
          <w:b/>
          <w:bCs/>
        </w:rPr>
        <w:tab/>
        <w:t>Conclusion</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jc w:val="both"/>
        <w:rPr>
          <w:rFonts w:ascii="Times New Roman" w:eastAsia="MS PMincho" w:hAnsi="Times New Roman" w:cs="Times New Roman"/>
        </w:rPr>
      </w:pPr>
      <w:r w:rsidRPr="00534155">
        <w:rPr>
          <w:rFonts w:ascii="Times New Roman" w:eastAsia="MS PMincho" w:hAnsi="Times New Roman" w:cs="Times New Roman"/>
        </w:rPr>
        <w:t xml:space="preserve">While most courts acknowledge the time at which property is to be valued, they often disagree as to what evidence will be </w:t>
      </w:r>
      <w:r w:rsidR="00446B31">
        <w:rPr>
          <w:rFonts w:ascii="Times New Roman" w:eastAsia="MS PMincho" w:hAnsi="Times New Roman" w:cs="Times New Roman"/>
        </w:rPr>
        <w:t>admissible to prove that value.</w:t>
      </w:r>
      <w:r w:rsidR="00EE0FF3">
        <w:rPr>
          <w:rFonts w:ascii="Times New Roman" w:eastAsia="MS PMincho" w:hAnsi="Times New Roman" w:cs="Times New Roman"/>
        </w:rPr>
        <w:t xml:space="preserve"> Often, </w:t>
      </w:r>
      <w:r w:rsidRPr="00534155">
        <w:rPr>
          <w:rFonts w:ascii="Times New Roman" w:eastAsia="MS PMincho" w:hAnsi="Times New Roman" w:cs="Times New Roman"/>
        </w:rPr>
        <w:t>this determination will depend on the court’s perception of the difference between “mar</w:t>
      </w:r>
      <w:r w:rsidR="00446B31">
        <w:rPr>
          <w:rFonts w:ascii="Times New Roman" w:eastAsia="MS PMincho" w:hAnsi="Times New Roman" w:cs="Times New Roman"/>
        </w:rPr>
        <w:t>ket value” and “actual value</w:t>
      </w:r>
      <w:r w:rsidR="00294955">
        <w:rPr>
          <w:rFonts w:ascii="Times New Roman" w:eastAsia="MS PMincho" w:hAnsi="Times New Roman" w:cs="Times New Roman"/>
        </w:rPr>
        <w:t>”.</w:t>
      </w:r>
      <w:r w:rsidR="00446B31">
        <w:rPr>
          <w:rFonts w:ascii="Times New Roman" w:eastAsia="MS PMincho" w:hAnsi="Times New Roman" w:cs="Times New Roman"/>
        </w:rPr>
        <w:t xml:space="preserve"> </w:t>
      </w:r>
      <w:r w:rsidRPr="00534155">
        <w:rPr>
          <w:rFonts w:ascii="Times New Roman" w:eastAsia="MS PMincho" w:hAnsi="Times New Roman" w:cs="Times New Roman"/>
        </w:rPr>
        <w:t>Courts seeking to prove actual value may be more permissive regarding post-taking evidence, holding it to be an indicator of the intrinsic value of the property, whether or not that value w</w:t>
      </w:r>
      <w:r w:rsidR="00446B31">
        <w:rPr>
          <w:rFonts w:ascii="Times New Roman" w:eastAsia="MS PMincho" w:hAnsi="Times New Roman" w:cs="Times New Roman"/>
        </w:rPr>
        <w:t>as accounted for by the market.</w:t>
      </w:r>
      <w:r w:rsidRPr="00534155">
        <w:rPr>
          <w:rFonts w:ascii="Times New Roman" w:eastAsia="MS PMincho" w:hAnsi="Times New Roman" w:cs="Times New Roman"/>
        </w:rPr>
        <w:t xml:space="preserve"> On the other hand, some courts have strictly subscribed to the theory that market value is the goal in determining just compensation, and therefore </w:t>
      </w:r>
      <w:r w:rsidRPr="00534155">
        <w:rPr>
          <w:rFonts w:ascii="Times New Roman" w:eastAsia="MS PMincho" w:hAnsi="Times New Roman" w:cs="Times New Roman"/>
        </w:rPr>
        <w:lastRenderedPageBreak/>
        <w:t>post-taking evidence is to be restr</w:t>
      </w:r>
      <w:r w:rsidR="00446B31">
        <w:rPr>
          <w:rFonts w:ascii="Times New Roman" w:eastAsia="MS PMincho" w:hAnsi="Times New Roman" w:cs="Times New Roman"/>
        </w:rPr>
        <w:t>icted to a much greater degree.</w:t>
      </w:r>
      <w:r w:rsidRPr="00534155">
        <w:rPr>
          <w:rFonts w:ascii="Times New Roman" w:eastAsia="MS PMincho" w:hAnsi="Times New Roman" w:cs="Times New Roman"/>
        </w:rPr>
        <w:t xml:space="preserve"> Finally, many courts have yet to squarely ad</w:t>
      </w:r>
      <w:r w:rsidR="00446B31">
        <w:rPr>
          <w:rFonts w:ascii="Times New Roman" w:eastAsia="MS PMincho" w:hAnsi="Times New Roman" w:cs="Times New Roman"/>
        </w:rPr>
        <w:t>dress these post-taking issues.</w:t>
      </w:r>
      <w:r w:rsidRPr="00534155">
        <w:rPr>
          <w:rFonts w:ascii="Times New Roman" w:eastAsia="MS PMincho" w:hAnsi="Times New Roman" w:cs="Times New Roman"/>
        </w:rPr>
        <w:t xml:space="preserve"> As more courts elect to do so, these perspectives will be illuminated in greater detail, and perhaps a greater consensus will be reached.</w:t>
      </w:r>
    </w:p>
    <w:p w:rsidR="001C6202" w:rsidRPr="00534155" w:rsidRDefault="001C6202" w:rsidP="005146C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eastAsia="MS PMincho" w:hAnsi="Times New Roman" w:cs="Times New Roman"/>
        </w:rPr>
      </w:pPr>
    </w:p>
    <w:sectPr w:rsidR="001C6202" w:rsidRPr="00534155" w:rsidSect="005146CF">
      <w:footerReference w:type="default" r:id="rId10"/>
      <w:type w:val="continuous"/>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325" w:rsidRDefault="00AB6325" w:rsidP="001C6202">
      <w:r>
        <w:separator/>
      </w:r>
    </w:p>
  </w:endnote>
  <w:endnote w:type="continuationSeparator" w:id="0">
    <w:p w:rsidR="00AB6325" w:rsidRDefault="00AB6325" w:rsidP="001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80560"/>
      <w:docPartObj>
        <w:docPartGallery w:val="Page Numbers (Bottom of Page)"/>
        <w:docPartUnique/>
      </w:docPartObj>
    </w:sdtPr>
    <w:sdtEndPr>
      <w:rPr>
        <w:rFonts w:ascii="Times New Roman" w:hAnsi="Times New Roman" w:cs="Times New Roman"/>
        <w:noProof/>
      </w:rPr>
    </w:sdtEndPr>
    <w:sdtContent>
      <w:p w:rsidR="0048673B" w:rsidRPr="005146CF" w:rsidRDefault="0048673B">
        <w:pPr>
          <w:pStyle w:val="Footer"/>
          <w:jc w:val="center"/>
          <w:rPr>
            <w:rFonts w:ascii="Times New Roman" w:hAnsi="Times New Roman" w:cs="Times New Roman"/>
          </w:rPr>
        </w:pPr>
        <w:r w:rsidRPr="005146CF">
          <w:rPr>
            <w:rFonts w:ascii="Times New Roman" w:hAnsi="Times New Roman" w:cs="Times New Roman"/>
          </w:rPr>
          <w:fldChar w:fldCharType="begin"/>
        </w:r>
        <w:r w:rsidRPr="005146CF">
          <w:rPr>
            <w:rFonts w:ascii="Times New Roman" w:hAnsi="Times New Roman" w:cs="Times New Roman"/>
          </w:rPr>
          <w:instrText xml:space="preserve"> PAGE   \* MERGEFORMAT </w:instrText>
        </w:r>
        <w:r w:rsidRPr="005146CF">
          <w:rPr>
            <w:rFonts w:ascii="Times New Roman" w:hAnsi="Times New Roman" w:cs="Times New Roman"/>
          </w:rPr>
          <w:fldChar w:fldCharType="separate"/>
        </w:r>
        <w:r w:rsidR="00EE0FF3">
          <w:rPr>
            <w:rFonts w:ascii="Times New Roman" w:hAnsi="Times New Roman" w:cs="Times New Roman"/>
            <w:noProof/>
          </w:rPr>
          <w:t>1</w:t>
        </w:r>
        <w:r w:rsidRPr="005146CF">
          <w:rPr>
            <w:rFonts w:ascii="Times New Roman" w:hAnsi="Times New Roman" w:cs="Times New Roman"/>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194799"/>
      <w:docPartObj>
        <w:docPartGallery w:val="Page Numbers (Bottom of Page)"/>
        <w:docPartUnique/>
      </w:docPartObj>
    </w:sdtPr>
    <w:sdtEndPr>
      <w:rPr>
        <w:rFonts w:ascii="Times New Roman" w:hAnsi="Times New Roman" w:cs="Times New Roman"/>
        <w:noProof/>
      </w:rPr>
    </w:sdtEndPr>
    <w:sdtContent>
      <w:p w:rsidR="0048673B" w:rsidRPr="005146CF" w:rsidRDefault="0048673B">
        <w:pPr>
          <w:pStyle w:val="Footer"/>
          <w:jc w:val="center"/>
          <w:rPr>
            <w:rFonts w:ascii="Times New Roman" w:hAnsi="Times New Roman" w:cs="Times New Roman"/>
          </w:rPr>
        </w:pPr>
        <w:r w:rsidRPr="005146CF">
          <w:rPr>
            <w:rFonts w:ascii="Times New Roman" w:hAnsi="Times New Roman" w:cs="Times New Roman"/>
          </w:rPr>
          <w:fldChar w:fldCharType="begin"/>
        </w:r>
        <w:r w:rsidRPr="005146CF">
          <w:rPr>
            <w:rFonts w:ascii="Times New Roman" w:hAnsi="Times New Roman" w:cs="Times New Roman"/>
          </w:rPr>
          <w:instrText xml:space="preserve"> PAGE   \* MERGEFORMAT </w:instrText>
        </w:r>
        <w:r w:rsidRPr="005146CF">
          <w:rPr>
            <w:rFonts w:ascii="Times New Roman" w:hAnsi="Times New Roman" w:cs="Times New Roman"/>
          </w:rPr>
          <w:fldChar w:fldCharType="separate"/>
        </w:r>
        <w:r w:rsidR="00EE0FF3">
          <w:rPr>
            <w:rFonts w:ascii="Times New Roman" w:hAnsi="Times New Roman" w:cs="Times New Roman"/>
            <w:noProof/>
          </w:rPr>
          <w:t>47</w:t>
        </w:r>
        <w:r w:rsidRPr="005146CF">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325" w:rsidRDefault="00AB6325" w:rsidP="001C6202">
      <w:r>
        <w:separator/>
      </w:r>
    </w:p>
  </w:footnote>
  <w:footnote w:type="continuationSeparator" w:id="0">
    <w:p w:rsidR="00AB6325" w:rsidRDefault="00AB6325" w:rsidP="001C6202">
      <w:r>
        <w:continuationSeparator/>
      </w:r>
    </w:p>
  </w:footnote>
  <w:footnote w:id="1">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U.S. Const. </w:t>
      </w:r>
      <w:proofErr w:type="gramStart"/>
      <w:r w:rsidRPr="00F33763">
        <w:rPr>
          <w:rFonts w:ascii="Times New Roman" w:hAnsi="Times New Roman" w:cs="Times New Roman"/>
        </w:rPr>
        <w:t>amend</w:t>
      </w:r>
      <w:proofErr w:type="gramEnd"/>
      <w:r w:rsidRPr="00F33763">
        <w:rPr>
          <w:rFonts w:ascii="Times New Roman" w:hAnsi="Times New Roman" w:cs="Times New Roman"/>
        </w:rPr>
        <w:t xml:space="preserve">. V (“. . . nor shall private property be taken for public use without just compensation.”). </w:t>
      </w:r>
    </w:p>
  </w:footnote>
  <w:footnote w:id="2">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4 Nichols on Eminent Domain (3d ed.) §</w:t>
      </w:r>
      <w:proofErr w:type="gramStart"/>
      <w:r w:rsidRPr="00F33763">
        <w:rPr>
          <w:rFonts w:ascii="Times New Roman" w:hAnsi="Times New Roman" w:cs="Times New Roman"/>
        </w:rPr>
        <w:t>12A.01(</w:t>
      </w:r>
      <w:proofErr w:type="gramEnd"/>
      <w:r w:rsidRPr="00F33763">
        <w:rPr>
          <w:rFonts w:ascii="Times New Roman" w:hAnsi="Times New Roman" w:cs="Times New Roman"/>
        </w:rPr>
        <w:t xml:space="preserve">1). </w:t>
      </w:r>
    </w:p>
  </w:footnote>
  <w:footnote w:id="3">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Published by The Appraisal Foundation (2010). </w:t>
      </w:r>
    </w:p>
  </w:footnote>
  <w:footnote w:id="4">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vertAlign w:val="superscript"/>
        </w:rPr>
        <w:t xml:space="preserve">  </w:t>
      </w:r>
      <w:r w:rsidRPr="00F33763">
        <w:rPr>
          <w:rFonts w:ascii="Times New Roman" w:hAnsi="Times New Roman" w:cs="Times New Roman"/>
          <w:i/>
        </w:rPr>
        <w:t xml:space="preserve">See </w:t>
      </w:r>
      <w:r w:rsidRPr="00F33763">
        <w:rPr>
          <w:rFonts w:ascii="Times New Roman" w:hAnsi="Times New Roman" w:cs="Times New Roman"/>
        </w:rPr>
        <w:t xml:space="preserve">Nichols, note </w:t>
      </w:r>
      <w:proofErr w:type="gramStart"/>
      <w:r w:rsidRPr="00F33763">
        <w:rPr>
          <w:rFonts w:ascii="Times New Roman" w:hAnsi="Times New Roman" w:cs="Times New Roman"/>
        </w:rPr>
        <w:t>2</w:t>
      </w:r>
      <w:proofErr w:type="gramEnd"/>
      <w:r w:rsidRPr="00F33763">
        <w:rPr>
          <w:rFonts w:ascii="Times New Roman" w:hAnsi="Times New Roman" w:cs="Times New Roman"/>
        </w:rPr>
        <w:t xml:space="preserve"> </w:t>
      </w:r>
      <w:r w:rsidRPr="00F33763">
        <w:rPr>
          <w:rFonts w:ascii="Times New Roman" w:hAnsi="Times New Roman" w:cs="Times New Roman"/>
          <w:i/>
        </w:rPr>
        <w:t xml:space="preserve">supra. </w:t>
      </w:r>
      <w:r w:rsidRPr="00F33763">
        <w:rPr>
          <w:rFonts w:ascii="Times New Roman" w:hAnsi="Times New Roman" w:cs="Times New Roman"/>
        </w:rPr>
        <w:t xml:space="preserve"> </w:t>
      </w:r>
    </w:p>
  </w:footnote>
  <w:footnote w:id="5">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U.S. Const., </w:t>
      </w:r>
      <w:proofErr w:type="gramStart"/>
      <w:r w:rsidRPr="00F33763">
        <w:rPr>
          <w:rFonts w:ascii="Times New Roman" w:hAnsi="Times New Roman" w:cs="Times New Roman"/>
        </w:rPr>
        <w:t>amend</w:t>
      </w:r>
      <w:proofErr w:type="gramEnd"/>
      <w:r w:rsidRPr="00F33763">
        <w:rPr>
          <w:rFonts w:ascii="Times New Roman" w:hAnsi="Times New Roman" w:cs="Times New Roman"/>
        </w:rPr>
        <w:t>. V.</w:t>
      </w:r>
    </w:p>
  </w:footnote>
  <w:footnote w:id="6">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w:t>
      </w:r>
      <w:r w:rsidRPr="00F33763">
        <w:rPr>
          <w:rFonts w:ascii="Times New Roman" w:hAnsi="Times New Roman" w:cs="Times New Roman"/>
          <w:i/>
          <w:iCs/>
        </w:rPr>
        <w:t xml:space="preserve">Olson v. United States, </w:t>
      </w:r>
      <w:r w:rsidRPr="00F33763">
        <w:rPr>
          <w:rFonts w:ascii="Times New Roman" w:hAnsi="Times New Roman" w:cs="Times New Roman"/>
          <w:iCs/>
        </w:rPr>
        <w:t>292 U.S. 246, 255 (1934).</w:t>
      </w:r>
    </w:p>
  </w:footnote>
  <w:footnote w:id="7">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i/>
          <w:iCs/>
        </w:rPr>
        <w:t xml:space="preserve"> United States v. Toronto, Hamilton &amp; Buffalo Nav. </w:t>
      </w:r>
      <w:proofErr w:type="gramStart"/>
      <w:r w:rsidRPr="00F33763">
        <w:rPr>
          <w:rFonts w:ascii="Times New Roman" w:hAnsi="Times New Roman" w:cs="Times New Roman"/>
          <w:i/>
          <w:iCs/>
        </w:rPr>
        <w:t>Co .</w:t>
      </w:r>
      <w:proofErr w:type="gramEnd"/>
      <w:r w:rsidRPr="00F33763">
        <w:rPr>
          <w:rFonts w:ascii="Times New Roman" w:hAnsi="Times New Roman" w:cs="Times New Roman"/>
          <w:i/>
          <w:iCs/>
        </w:rPr>
        <w:t xml:space="preserve">, </w:t>
      </w:r>
      <w:r w:rsidRPr="00F33763">
        <w:rPr>
          <w:rFonts w:ascii="Times New Roman" w:hAnsi="Times New Roman" w:cs="Times New Roman"/>
          <w:iCs/>
        </w:rPr>
        <w:t xml:space="preserve">338 U.S. 396, 402, (1949); </w:t>
      </w:r>
      <w:r w:rsidRPr="00F33763">
        <w:rPr>
          <w:rFonts w:ascii="Times New Roman" w:hAnsi="Times New Roman" w:cs="Times New Roman"/>
          <w:i/>
          <w:iCs/>
        </w:rPr>
        <w:t xml:space="preserve">United States v. Miller, </w:t>
      </w:r>
      <w:r w:rsidRPr="00F33763">
        <w:rPr>
          <w:rFonts w:ascii="Times New Roman" w:hAnsi="Times New Roman" w:cs="Times New Roman"/>
          <w:iCs/>
        </w:rPr>
        <w:t xml:space="preserve">317 U.S. 369, 374 (1943). </w:t>
      </w:r>
    </w:p>
  </w:footnote>
  <w:footnote w:id="8">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i/>
          <w:iCs/>
        </w:rPr>
        <w:t xml:space="preserve"> Olson, </w:t>
      </w:r>
      <w:r w:rsidRPr="00F33763">
        <w:rPr>
          <w:rFonts w:ascii="Times New Roman" w:hAnsi="Times New Roman" w:cs="Times New Roman"/>
          <w:iCs/>
        </w:rPr>
        <w:t>292 U.S. at 255</w:t>
      </w:r>
      <w:r w:rsidRPr="00F33763">
        <w:rPr>
          <w:rFonts w:ascii="Times New Roman" w:hAnsi="Times New Roman" w:cs="Times New Roman"/>
          <w:i/>
          <w:iCs/>
        </w:rPr>
        <w:t>.</w:t>
      </w:r>
    </w:p>
  </w:footnote>
  <w:footnote w:id="9">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at 246.</w:t>
      </w:r>
    </w:p>
  </w:footnote>
  <w:footnote w:id="1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USPAP, Statement on Appraisal Standards No. 3 (SMT-3) (2010-2011).</w:t>
      </w:r>
    </w:p>
  </w:footnote>
  <w:footnote w:id="11">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12">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13">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14">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(emphasis added).</w:t>
      </w:r>
    </w:p>
  </w:footnote>
  <w:footnote w:id="15">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(emphasis added).</w:t>
      </w:r>
    </w:p>
  </w:footnote>
  <w:footnote w:id="16">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17">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Nichols, note </w:t>
      </w:r>
      <w:proofErr w:type="gramStart"/>
      <w:r w:rsidRPr="00F33763">
        <w:rPr>
          <w:rFonts w:ascii="Times New Roman" w:hAnsi="Times New Roman" w:cs="Times New Roman"/>
        </w:rPr>
        <w:t>2</w:t>
      </w:r>
      <w:proofErr w:type="gramEnd"/>
      <w:r w:rsidRPr="00F33763">
        <w:rPr>
          <w:rFonts w:ascii="Times New Roman" w:hAnsi="Times New Roman" w:cs="Times New Roman"/>
        </w:rPr>
        <w:t xml:space="preserve"> </w:t>
      </w:r>
      <w:r w:rsidRPr="00F33763">
        <w:rPr>
          <w:rFonts w:ascii="Times New Roman" w:hAnsi="Times New Roman" w:cs="Times New Roman"/>
          <w:i/>
        </w:rPr>
        <w:t xml:space="preserve">supra, </w:t>
      </w:r>
      <w:r w:rsidRPr="00F33763">
        <w:rPr>
          <w:rFonts w:ascii="Times New Roman" w:hAnsi="Times New Roman" w:cs="Times New Roman"/>
        </w:rPr>
        <w:t xml:space="preserve">§ 18.16. </w:t>
      </w:r>
    </w:p>
  </w:footnote>
  <w:footnote w:id="18">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(emphasis added).</w:t>
      </w:r>
    </w:p>
  </w:footnote>
  <w:footnote w:id="19">
    <w:p w:rsidR="0048673B" w:rsidRPr="00F33763" w:rsidRDefault="0048673B" w:rsidP="00446B31">
      <w:pPr>
        <w:pStyle w:val="FootnoteText"/>
        <w:tabs>
          <w:tab w:val="left" w:pos="2562"/>
        </w:tabs>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 12A.01(7)(a)</w:t>
      </w:r>
      <w:r w:rsidRPr="00F33763">
        <w:rPr>
          <w:rFonts w:ascii="Times New Roman" w:hAnsi="Times New Roman" w:cs="Times New Roman"/>
        </w:rPr>
        <w:tab/>
      </w:r>
    </w:p>
  </w:footnote>
  <w:footnote w:id="2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 12A.01(7)(b)</w:t>
      </w:r>
    </w:p>
  </w:footnote>
  <w:footnote w:id="21">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22">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w:t>
      </w:r>
    </w:p>
  </w:footnote>
  <w:footnote w:id="23">
    <w:p w:rsidR="0048673B" w:rsidRPr="00F33763" w:rsidRDefault="0048673B" w:rsidP="00446B31">
      <w:pPr>
        <w:pStyle w:val="FootnoteText"/>
        <w:rPr>
          <w:rFonts w:ascii="Times New Roman" w:hAnsi="Times New Roman" w:cs="Times New Roman"/>
          <w:i/>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w:t>
      </w:r>
      <w:r w:rsidRPr="00F33763">
        <w:rPr>
          <w:rFonts w:ascii="Times New Roman" w:hAnsi="Times New Roman" w:cs="Times New Roman"/>
          <w:i/>
        </w:rPr>
        <w:t xml:space="preserve">See </w:t>
      </w:r>
      <w:r w:rsidRPr="00F33763">
        <w:rPr>
          <w:rFonts w:ascii="Times New Roman" w:hAnsi="Times New Roman" w:cs="Times New Roman"/>
          <w:i/>
          <w:iCs/>
        </w:rPr>
        <w:t xml:space="preserve">United States v. </w:t>
      </w:r>
      <w:proofErr w:type="spellStart"/>
      <w:r w:rsidRPr="00F33763">
        <w:rPr>
          <w:rFonts w:ascii="Times New Roman" w:hAnsi="Times New Roman" w:cs="Times New Roman"/>
          <w:i/>
          <w:iCs/>
        </w:rPr>
        <w:t>Cors</w:t>
      </w:r>
      <w:proofErr w:type="spellEnd"/>
      <w:r w:rsidRPr="00F33763">
        <w:rPr>
          <w:rFonts w:ascii="Times New Roman" w:hAnsi="Times New Roman" w:cs="Times New Roman"/>
          <w:i/>
          <w:iCs/>
        </w:rPr>
        <w:t xml:space="preserve">, </w:t>
      </w:r>
      <w:proofErr w:type="gramStart"/>
      <w:r w:rsidRPr="00F33763">
        <w:rPr>
          <w:rFonts w:ascii="Times New Roman" w:hAnsi="Times New Roman" w:cs="Times New Roman"/>
          <w:iCs/>
        </w:rPr>
        <w:t>337 U.S.325, 332-34</w:t>
      </w:r>
      <w:proofErr w:type="gramEnd"/>
      <w:r w:rsidRPr="00F33763">
        <w:rPr>
          <w:rFonts w:ascii="Times New Roman" w:hAnsi="Times New Roman" w:cs="Times New Roman"/>
        </w:rPr>
        <w:t xml:space="preserve"> (1949). </w:t>
      </w:r>
    </w:p>
  </w:footnote>
  <w:footnote w:id="24">
    <w:p w:rsidR="0048673B" w:rsidRPr="00F33763" w:rsidRDefault="0048673B" w:rsidP="00446B31">
      <w:pPr>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 xml:space="preserve">U.S. v. 480.00 Acres of Land, </w:t>
      </w:r>
      <w:r w:rsidRPr="00F33763">
        <w:rPr>
          <w:rFonts w:ascii="Times New Roman" w:hAnsi="Times New Roman" w:cs="Times New Roman"/>
          <w:sz w:val="20"/>
          <w:szCs w:val="20"/>
        </w:rPr>
        <w:t xml:space="preserve">557 F.3d 1297, 1307 (11th Cir. 2009) (citing </w:t>
      </w:r>
      <w:r w:rsidRPr="00F33763">
        <w:rPr>
          <w:rFonts w:ascii="Times New Roman" w:hAnsi="Times New Roman" w:cs="Times New Roman"/>
          <w:i/>
          <w:iCs/>
          <w:sz w:val="20"/>
          <w:szCs w:val="20"/>
          <w:shd w:val="clear" w:color="auto" w:fill="FFFFFF"/>
        </w:rPr>
        <w:t>United States v.</w:t>
      </w:r>
      <w:r w:rsidRPr="00F33763">
        <w:rPr>
          <w:rStyle w:val="apple-converted-space"/>
          <w:rFonts w:ascii="Times New Roman" w:hAnsi="Times New Roman" w:cs="Times New Roman"/>
          <w:i/>
          <w:iCs/>
          <w:color w:val="004B91"/>
          <w:sz w:val="20"/>
          <w:szCs w:val="20"/>
          <w:shd w:val="clear" w:color="auto" w:fill="FFFFFF"/>
        </w:rPr>
        <w:t> </w:t>
      </w:r>
      <w:r w:rsidRPr="00F33763">
        <w:rPr>
          <w:rFonts w:ascii="Times New Roman" w:hAnsi="Times New Roman" w:cs="Times New Roman"/>
          <w:i/>
          <w:iCs/>
          <w:sz w:val="20"/>
          <w:szCs w:val="20"/>
          <w:shd w:val="clear" w:color="auto" w:fill="FFFFFF"/>
        </w:rPr>
        <w:t>320 Acres</w:t>
      </w:r>
      <w:r w:rsidRPr="00F33763">
        <w:rPr>
          <w:rFonts w:ascii="Times New Roman" w:hAnsi="Times New Roman" w:cs="Times New Roman"/>
          <w:sz w:val="20"/>
          <w:szCs w:val="20"/>
          <w:shd w:val="clear" w:color="auto" w:fill="FFFFFF"/>
        </w:rPr>
        <w:t xml:space="preserve">, 605 F.2d 762, 820 n. 131 </w:t>
      </w:r>
      <w:r w:rsidRPr="00F33763">
        <w:rPr>
          <w:rStyle w:val="apple-converted-space"/>
          <w:rFonts w:ascii="Times New Roman" w:hAnsi="Times New Roman" w:cs="Times New Roman"/>
          <w:color w:val="333333"/>
          <w:sz w:val="20"/>
          <w:szCs w:val="20"/>
          <w:shd w:val="clear" w:color="auto" w:fill="FFFFFF"/>
        </w:rPr>
        <w:t>(</w:t>
      </w:r>
      <w:proofErr w:type="gramStart"/>
      <w:r w:rsidRPr="00F33763">
        <w:rPr>
          <w:rStyle w:val="apple-converted-space"/>
          <w:rFonts w:ascii="Times New Roman" w:hAnsi="Times New Roman" w:cs="Times New Roman"/>
          <w:color w:val="333333"/>
          <w:sz w:val="20"/>
          <w:szCs w:val="20"/>
          <w:shd w:val="clear" w:color="auto" w:fill="FFFFFF"/>
        </w:rPr>
        <w:t>5th</w:t>
      </w:r>
      <w:proofErr w:type="gramEnd"/>
      <w:r w:rsidRPr="00F33763">
        <w:rPr>
          <w:rStyle w:val="apple-converted-space"/>
          <w:rFonts w:ascii="Times New Roman" w:hAnsi="Times New Roman" w:cs="Times New Roman"/>
          <w:color w:val="333333"/>
          <w:sz w:val="20"/>
          <w:szCs w:val="20"/>
          <w:shd w:val="clear" w:color="auto" w:fill="FFFFFF"/>
        </w:rPr>
        <w:t xml:space="preserve"> Cir. 1979) </w:t>
      </w:r>
      <w:r w:rsidRPr="00F33763">
        <w:rPr>
          <w:rStyle w:val="apple-style-span"/>
          <w:rFonts w:ascii="Times New Roman" w:hAnsi="Times New Roman" w:cs="Times New Roman"/>
          <w:color w:val="333333"/>
          <w:sz w:val="20"/>
          <w:szCs w:val="20"/>
          <w:shd w:val="clear" w:color="auto" w:fill="FFFFFF"/>
        </w:rPr>
        <w:t>(internal citations omitted)).</w:t>
      </w:r>
    </w:p>
  </w:footnote>
  <w:footnote w:id="25">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w:t>
      </w:r>
      <w:r w:rsidRPr="00F33763">
        <w:rPr>
          <w:rFonts w:ascii="Times New Roman" w:hAnsi="Times New Roman" w:cs="Times New Roman"/>
          <w:i/>
        </w:rPr>
        <w:t>See</w:t>
      </w:r>
      <w:r w:rsidRPr="00F33763">
        <w:rPr>
          <w:rFonts w:ascii="Times New Roman" w:hAnsi="Times New Roman" w:cs="Times New Roman"/>
        </w:rPr>
        <w:t xml:space="preserve"> USPAP, note 10 </w:t>
      </w:r>
      <w:r w:rsidRPr="00F33763">
        <w:rPr>
          <w:rFonts w:ascii="Times New Roman" w:hAnsi="Times New Roman" w:cs="Times New Roman"/>
          <w:i/>
        </w:rPr>
        <w:t>supra</w:t>
      </w:r>
      <w:r w:rsidRPr="00F33763">
        <w:rPr>
          <w:rFonts w:ascii="Times New Roman" w:hAnsi="Times New Roman" w:cs="Times New Roman"/>
        </w:rPr>
        <w:t xml:space="preserve">. </w:t>
      </w:r>
    </w:p>
  </w:footnote>
  <w:footnote w:id="26">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245 F.2d 140 (</w:t>
      </w:r>
      <w:proofErr w:type="gramStart"/>
      <w:r w:rsidRPr="00F33763">
        <w:rPr>
          <w:rFonts w:ascii="Times New Roman" w:hAnsi="Times New Roman" w:cs="Times New Roman"/>
        </w:rPr>
        <w:t>2d</w:t>
      </w:r>
      <w:proofErr w:type="gramEnd"/>
      <w:r w:rsidRPr="00F33763">
        <w:rPr>
          <w:rFonts w:ascii="Times New Roman" w:hAnsi="Times New Roman" w:cs="Times New Roman"/>
        </w:rPr>
        <w:t xml:space="preserve"> Cir. 1957).</w:t>
      </w:r>
    </w:p>
  </w:footnote>
  <w:footnote w:id="27">
    <w:p w:rsidR="0048673B" w:rsidRPr="00F33763" w:rsidRDefault="0048673B" w:rsidP="00446B31">
      <w:pPr>
        <w:pStyle w:val="FootnoteText"/>
        <w:tabs>
          <w:tab w:val="left" w:pos="6647"/>
        </w:tabs>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at 144 (citing </w:t>
      </w:r>
      <w:r w:rsidRPr="00F33763">
        <w:rPr>
          <w:rStyle w:val="Hyperlink6"/>
          <w:rFonts w:ascii="Times New Roman" w:hAnsi="Times New Roman" w:cs="Times New Roman"/>
          <w:i/>
          <w:u w:val="none"/>
        </w:rPr>
        <w:t>United States v. 5139.5 Acres of Land</w:t>
      </w:r>
      <w:r w:rsidRPr="00F33763">
        <w:rPr>
          <w:rStyle w:val="Hyperlink6"/>
          <w:rFonts w:ascii="Times New Roman" w:hAnsi="Times New Roman" w:cs="Times New Roman"/>
          <w:u w:val="none"/>
        </w:rPr>
        <w:t>, 200 F.2d 659, 662 (</w:t>
      </w:r>
      <w:proofErr w:type="gramStart"/>
      <w:r w:rsidRPr="00F33763">
        <w:rPr>
          <w:rStyle w:val="Hyperlink6"/>
          <w:rFonts w:ascii="Times New Roman" w:hAnsi="Times New Roman" w:cs="Times New Roman"/>
          <w:u w:val="none"/>
        </w:rPr>
        <w:t>4th</w:t>
      </w:r>
      <w:proofErr w:type="gramEnd"/>
      <w:r w:rsidRPr="00F33763">
        <w:rPr>
          <w:rStyle w:val="Hyperlink6"/>
          <w:rFonts w:ascii="Times New Roman" w:hAnsi="Times New Roman" w:cs="Times New Roman"/>
          <w:u w:val="none"/>
        </w:rPr>
        <w:t xml:space="preserve"> Cir. 1952);</w:t>
      </w:r>
      <w:r w:rsidRPr="00F33763">
        <w:rPr>
          <w:rFonts w:ascii="Times New Roman" w:hAnsi="Times New Roman" w:cs="Times New Roman"/>
        </w:rPr>
        <w:t xml:space="preserve"> 1 </w:t>
      </w:r>
      <w:proofErr w:type="spellStart"/>
      <w:r w:rsidRPr="00F33763">
        <w:rPr>
          <w:rFonts w:ascii="Times New Roman" w:hAnsi="Times New Roman" w:cs="Times New Roman"/>
        </w:rPr>
        <w:t>Orgel</w:t>
      </w:r>
      <w:proofErr w:type="spellEnd"/>
      <w:r w:rsidRPr="00F33763">
        <w:rPr>
          <w:rFonts w:ascii="Times New Roman" w:hAnsi="Times New Roman" w:cs="Times New Roman"/>
        </w:rPr>
        <w:t>, Valuation Under Eminent Domain, § 139 (2d Ed.1953)).</w:t>
      </w:r>
      <w:r w:rsidRPr="00F33763">
        <w:rPr>
          <w:rFonts w:ascii="Times New Roman" w:hAnsi="Times New Roman" w:cs="Times New Roman"/>
        </w:rPr>
        <w:tab/>
      </w:r>
    </w:p>
  </w:footnote>
  <w:footnote w:id="28">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(emphasis added) (internal citations omitted). </w:t>
      </w:r>
    </w:p>
  </w:footnote>
  <w:footnote w:id="29">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(quoting </w:t>
      </w:r>
      <w:r w:rsidRPr="00F33763">
        <w:rPr>
          <w:rFonts w:ascii="Times New Roman" w:hAnsi="Times New Roman" w:cs="Times New Roman"/>
          <w:i/>
        </w:rPr>
        <w:t xml:space="preserve">5139.5 Acres of Land, </w:t>
      </w:r>
      <w:r w:rsidRPr="00F33763">
        <w:rPr>
          <w:rFonts w:ascii="Times New Roman" w:hAnsi="Times New Roman" w:cs="Times New Roman"/>
        </w:rPr>
        <w:t xml:space="preserve">200 F.2d at 662). </w:t>
      </w:r>
    </w:p>
  </w:footnote>
  <w:footnote w:id="3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918 F.2d 389 (</w:t>
      </w:r>
      <w:proofErr w:type="gramStart"/>
      <w:r w:rsidRPr="00F33763">
        <w:rPr>
          <w:rFonts w:ascii="Times New Roman" w:hAnsi="Times New Roman" w:cs="Times New Roman"/>
        </w:rPr>
        <w:t>3d</w:t>
      </w:r>
      <w:proofErr w:type="gramEnd"/>
      <w:r w:rsidRPr="00F33763">
        <w:rPr>
          <w:rFonts w:ascii="Times New Roman" w:hAnsi="Times New Roman" w:cs="Times New Roman"/>
        </w:rPr>
        <w:t xml:space="preserve"> Cir. 1990). </w:t>
      </w:r>
    </w:p>
  </w:footnote>
  <w:footnote w:id="31">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at 398 (citing </w:t>
      </w:r>
      <w:r w:rsidRPr="00F33763">
        <w:rPr>
          <w:rFonts w:ascii="Times New Roman" w:hAnsi="Times New Roman" w:cs="Times New Roman"/>
          <w:i/>
          <w:iCs/>
        </w:rPr>
        <w:t>Olson,</w:t>
      </w:r>
      <w:r w:rsidRPr="00F33763">
        <w:rPr>
          <w:rFonts w:ascii="Times New Roman" w:hAnsi="Times New Roman" w:cs="Times New Roman"/>
          <w:iCs/>
        </w:rPr>
        <w:t xml:space="preserve"> 292 U.S. at 256; </w:t>
      </w:r>
      <w:r w:rsidRPr="00F33763">
        <w:rPr>
          <w:rFonts w:ascii="Times New Roman" w:hAnsi="Times New Roman" w:cs="Times New Roman"/>
          <w:i/>
          <w:iCs/>
        </w:rPr>
        <w:t xml:space="preserve">63.04 Acres, </w:t>
      </w:r>
      <w:r w:rsidRPr="00F33763">
        <w:rPr>
          <w:rFonts w:ascii="Times New Roman" w:hAnsi="Times New Roman" w:cs="Times New Roman"/>
          <w:iCs/>
        </w:rPr>
        <w:t xml:space="preserve">245 F.2d at 144). </w:t>
      </w:r>
    </w:p>
  </w:footnote>
  <w:footnote w:id="32">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at 399 (citing </w:t>
      </w:r>
      <w:r w:rsidRPr="00F33763">
        <w:rPr>
          <w:rFonts w:ascii="Times New Roman" w:hAnsi="Times New Roman" w:cs="Times New Roman"/>
          <w:i/>
          <w:iCs/>
        </w:rPr>
        <w:t xml:space="preserve">U.S. v. 320.0 Acres of Land, More or Less, Etc., </w:t>
      </w:r>
      <w:r w:rsidRPr="00F33763">
        <w:rPr>
          <w:rFonts w:ascii="Times New Roman" w:hAnsi="Times New Roman" w:cs="Times New Roman"/>
          <w:iCs/>
        </w:rPr>
        <w:t>605 F.2d 762, 798 (</w:t>
      </w:r>
      <w:proofErr w:type="gramStart"/>
      <w:r w:rsidRPr="00F33763">
        <w:rPr>
          <w:rFonts w:ascii="Times New Roman" w:hAnsi="Times New Roman" w:cs="Times New Roman"/>
          <w:iCs/>
        </w:rPr>
        <w:t>5th</w:t>
      </w:r>
      <w:proofErr w:type="gramEnd"/>
      <w:r w:rsidRPr="00F33763">
        <w:rPr>
          <w:rFonts w:ascii="Times New Roman" w:hAnsi="Times New Roman" w:cs="Times New Roman"/>
          <w:iCs/>
        </w:rPr>
        <w:t xml:space="preserve"> Cir. 1979)</w:t>
      </w:r>
      <w:r w:rsidRPr="00F33763">
        <w:rPr>
          <w:rFonts w:ascii="Times New Roman" w:hAnsi="Times New Roman" w:cs="Times New Roman"/>
        </w:rPr>
        <w:t xml:space="preserve">). </w:t>
      </w:r>
    </w:p>
  </w:footnote>
  <w:footnote w:id="33">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198</w:t>
      </w:r>
      <w:proofErr w:type="gramEnd"/>
      <w:r w:rsidRPr="00F33763">
        <w:rPr>
          <w:rFonts w:ascii="Times New Roman" w:hAnsi="Times New Roman" w:cs="Times New Roman"/>
          <w:sz w:val="20"/>
          <w:szCs w:val="20"/>
        </w:rPr>
        <w:t xml:space="preserve"> F. Supp. 120 (E.D.N.Y. 1961). </w:t>
      </w:r>
    </w:p>
  </w:footnote>
  <w:footnote w:id="34">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125.</w:t>
      </w:r>
    </w:p>
  </w:footnote>
  <w:footnote w:id="3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36">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546 F.3d 613 (9th Cir. 2008)</w:t>
      </w:r>
    </w:p>
  </w:footnote>
  <w:footnote w:id="37">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at 619 (citing </w:t>
      </w:r>
      <w:r w:rsidRPr="00F33763">
        <w:rPr>
          <w:rFonts w:ascii="Times New Roman" w:hAnsi="Times New Roman" w:cs="Times New Roman"/>
          <w:i/>
          <w:iCs/>
        </w:rPr>
        <w:t xml:space="preserve">68.94 Acres, </w:t>
      </w:r>
      <w:r w:rsidRPr="00F33763">
        <w:rPr>
          <w:rFonts w:ascii="Times New Roman" w:hAnsi="Times New Roman" w:cs="Times New Roman"/>
          <w:iCs/>
        </w:rPr>
        <w:t>918 F.2d at 399).</w:t>
      </w:r>
      <w:r w:rsidRPr="00F33763">
        <w:rPr>
          <w:rFonts w:ascii="Times New Roman" w:hAnsi="Times New Roman" w:cs="Times New Roman"/>
          <w:i/>
          <w:iCs/>
        </w:rPr>
        <w:t xml:space="preserve"> </w:t>
      </w:r>
    </w:p>
  </w:footnote>
  <w:footnote w:id="38">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(citing </w:t>
      </w:r>
      <w:r w:rsidRPr="00F33763">
        <w:rPr>
          <w:rFonts w:ascii="Times New Roman" w:hAnsi="Times New Roman" w:cs="Times New Roman"/>
          <w:i/>
          <w:iCs/>
        </w:rPr>
        <w:t xml:space="preserve">68.94 Acres, </w:t>
      </w:r>
      <w:r w:rsidRPr="00F33763">
        <w:rPr>
          <w:rFonts w:ascii="Times New Roman" w:hAnsi="Times New Roman" w:cs="Times New Roman"/>
          <w:iCs/>
        </w:rPr>
        <w:t>918 F.2d at 399</w:t>
      </w:r>
      <w:r w:rsidRPr="00F33763">
        <w:rPr>
          <w:rFonts w:ascii="Times New Roman" w:hAnsi="Times New Roman" w:cs="Times New Roman"/>
        </w:rPr>
        <w:t xml:space="preserve">; </w:t>
      </w:r>
      <w:r w:rsidRPr="00F33763">
        <w:rPr>
          <w:rFonts w:ascii="Times New Roman" w:hAnsi="Times New Roman" w:cs="Times New Roman"/>
          <w:i/>
          <w:iCs/>
        </w:rPr>
        <w:t>320.0 Acres</w:t>
      </w:r>
      <w:r w:rsidRPr="00F33763">
        <w:rPr>
          <w:rFonts w:ascii="Times New Roman" w:hAnsi="Times New Roman" w:cs="Times New Roman"/>
          <w:iCs/>
        </w:rPr>
        <w:t>, 605 F.2d at 800</w:t>
      </w:r>
      <w:r w:rsidRPr="00F33763">
        <w:rPr>
          <w:rFonts w:ascii="Times New Roman" w:hAnsi="Times New Roman" w:cs="Times New Roman"/>
        </w:rPr>
        <w:t xml:space="preserve">; </w:t>
      </w:r>
      <w:r w:rsidRPr="00F33763">
        <w:rPr>
          <w:rFonts w:ascii="Times New Roman" w:hAnsi="Times New Roman" w:cs="Times New Roman"/>
          <w:i/>
          <w:iCs/>
        </w:rPr>
        <w:t>63.04 Acres</w:t>
      </w:r>
      <w:r w:rsidRPr="00F33763">
        <w:rPr>
          <w:rFonts w:ascii="Times New Roman" w:hAnsi="Times New Roman" w:cs="Times New Roman"/>
          <w:iCs/>
        </w:rPr>
        <w:t>, 245 F.2d at 144</w:t>
      </w:r>
      <w:r w:rsidRPr="00F33763">
        <w:rPr>
          <w:rFonts w:ascii="Times New Roman" w:hAnsi="Times New Roman" w:cs="Times New Roman"/>
        </w:rPr>
        <w:t>).</w:t>
      </w:r>
    </w:p>
  </w:footnote>
  <w:footnote w:id="39">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Id. (citing </w:t>
      </w:r>
      <w:r w:rsidRPr="00F33763">
        <w:rPr>
          <w:rFonts w:ascii="Times New Roman" w:hAnsi="Times New Roman" w:cs="Times New Roman"/>
          <w:i/>
          <w:iCs/>
        </w:rPr>
        <w:t xml:space="preserve">691.81 Acres, </w:t>
      </w:r>
      <w:r w:rsidRPr="00F33763">
        <w:rPr>
          <w:rFonts w:ascii="Times New Roman" w:hAnsi="Times New Roman" w:cs="Times New Roman"/>
          <w:iCs/>
        </w:rPr>
        <w:t>443 F.2d at 463</w:t>
      </w:r>
      <w:r w:rsidRPr="00F33763">
        <w:rPr>
          <w:rFonts w:ascii="Times New Roman" w:hAnsi="Times New Roman" w:cs="Times New Roman"/>
        </w:rPr>
        <w:t xml:space="preserve">). </w:t>
      </w:r>
    </w:p>
  </w:footnote>
  <w:footnote w:id="4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vertAlign w:val="superscript"/>
        </w:rPr>
        <w:t xml:space="preserve">  </w:t>
      </w:r>
      <w:r w:rsidRPr="00F33763">
        <w:rPr>
          <w:rFonts w:ascii="Times New Roman" w:hAnsi="Times New Roman" w:cs="Times New Roman"/>
        </w:rPr>
        <w:t>Id. at 619.</w:t>
      </w:r>
    </w:p>
  </w:footnote>
  <w:footnote w:id="41">
    <w:p w:rsidR="0048673B" w:rsidRPr="00F33763" w:rsidRDefault="0048673B" w:rsidP="00446B31">
      <w:pPr>
        <w:jc w:val="both"/>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i/>
          <w:iCs/>
          <w:sz w:val="20"/>
          <w:szCs w:val="20"/>
        </w:rPr>
        <w:t xml:space="preserve"> See, e.g., United States v. 691.81 Acres, </w:t>
      </w:r>
      <w:r w:rsidRPr="00F33763">
        <w:rPr>
          <w:rFonts w:ascii="Times New Roman" w:hAnsi="Times New Roman" w:cs="Times New Roman"/>
          <w:iCs/>
          <w:sz w:val="20"/>
          <w:szCs w:val="20"/>
        </w:rPr>
        <w:t>443 F.2d 461, 463 (6th Cir. 1971)</w:t>
      </w:r>
      <w:r w:rsidRPr="00F33763">
        <w:rPr>
          <w:rFonts w:ascii="Times New Roman" w:hAnsi="Times New Roman" w:cs="Times New Roman"/>
          <w:sz w:val="20"/>
          <w:szCs w:val="20"/>
        </w:rPr>
        <w:t xml:space="preserve"> (possibility of artificial price inflation “[could not] be determined through use of a general exclusionary rule prior to trial”); </w:t>
      </w:r>
      <w:r w:rsidRPr="00F33763">
        <w:rPr>
          <w:rFonts w:ascii="Times New Roman" w:hAnsi="Times New Roman" w:cs="Times New Roman"/>
          <w:i/>
          <w:iCs/>
          <w:sz w:val="20"/>
          <w:szCs w:val="20"/>
        </w:rPr>
        <w:t xml:space="preserve">United States v. 1,129.75 Acres of Land, </w:t>
      </w:r>
      <w:r w:rsidRPr="00F33763">
        <w:rPr>
          <w:rFonts w:ascii="Times New Roman" w:hAnsi="Times New Roman" w:cs="Times New Roman"/>
          <w:iCs/>
          <w:sz w:val="20"/>
          <w:szCs w:val="20"/>
        </w:rPr>
        <w:t>473 F.2d 996, 998 (8th Cir. 1973) (admission of subsequent comparable sales rests in trial courts discretion)</w:t>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 xml:space="preserve">United States v. 0.161 Acres of Land, </w:t>
      </w:r>
      <w:r w:rsidRPr="00F33763">
        <w:rPr>
          <w:rFonts w:ascii="Times New Roman" w:hAnsi="Times New Roman" w:cs="Times New Roman"/>
          <w:iCs/>
          <w:sz w:val="20"/>
          <w:szCs w:val="20"/>
        </w:rPr>
        <w:t>837 F.2d 1036, 1044 (11th Cir. 1988)</w:t>
      </w:r>
      <w:r w:rsidRPr="00F33763">
        <w:rPr>
          <w:rFonts w:ascii="Times New Roman" w:hAnsi="Times New Roman" w:cs="Times New Roman"/>
          <w:sz w:val="20"/>
          <w:szCs w:val="20"/>
        </w:rPr>
        <w:t xml:space="preserve"> (district court abused its discretion by adopting a per se rule, given the “preference for allowing the fact-finder to decide what, if any, weight to attach to evidence of post-taking sales”); </w:t>
      </w:r>
      <w:r w:rsidRPr="00F33763">
        <w:rPr>
          <w:rFonts w:ascii="Times New Roman" w:hAnsi="Times New Roman" w:cs="Times New Roman"/>
          <w:i/>
          <w:sz w:val="20"/>
          <w:szCs w:val="20"/>
        </w:rPr>
        <w:t xml:space="preserve">El Paso Natural Gas Co v. FERC, </w:t>
      </w:r>
      <w:r w:rsidRPr="00F33763">
        <w:rPr>
          <w:rFonts w:ascii="Times New Roman" w:hAnsi="Times New Roman" w:cs="Times New Roman"/>
          <w:sz w:val="20"/>
          <w:szCs w:val="20"/>
        </w:rPr>
        <w:t>96 F.3d 1460, 1464 (C.A.D.C. 1996) (timing of sales and comparability of properties are to be balanced in determining whether to admit comparable sales).</w:t>
      </w:r>
    </w:p>
  </w:footnote>
  <w:footnote w:id="4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149</w:t>
      </w:r>
      <w:proofErr w:type="gramEnd"/>
      <w:r w:rsidRPr="00F33763">
        <w:rPr>
          <w:rFonts w:ascii="Times New Roman" w:hAnsi="Times New Roman" w:cs="Times New Roman"/>
          <w:sz w:val="20"/>
          <w:szCs w:val="20"/>
        </w:rPr>
        <w:t xml:space="preserve"> Mass. 346; 21 N.E. 668 (1889).</w:t>
      </w:r>
    </w:p>
  </w:footnote>
  <w:footnote w:id="4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354 (emphasis added).</w:t>
      </w:r>
    </w:p>
  </w:footnote>
  <w:footnote w:id="4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Cs/>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w:t>
      </w:r>
      <w:proofErr w:type="gramStart"/>
      <w:r w:rsidRPr="00F33763">
        <w:rPr>
          <w:rFonts w:ascii="Times New Roman" w:hAnsi="Times New Roman" w:cs="Times New Roman"/>
          <w:iCs/>
          <w:sz w:val="20"/>
          <w:szCs w:val="20"/>
        </w:rPr>
        <w:t>38</w:t>
      </w:r>
      <w:proofErr w:type="gramEnd"/>
      <w:r w:rsidRPr="00F33763">
        <w:rPr>
          <w:rFonts w:ascii="Times New Roman" w:hAnsi="Times New Roman" w:cs="Times New Roman"/>
          <w:iCs/>
          <w:sz w:val="20"/>
          <w:szCs w:val="20"/>
        </w:rPr>
        <w:t xml:space="preserve"> Wyo. 190, 202; 266 P. 117 (1928).</w:t>
      </w:r>
    </w:p>
  </w:footnote>
  <w:footnote w:id="4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202.</w:t>
      </w:r>
    </w:p>
  </w:footnote>
  <w:footnote w:id="4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298</w:t>
      </w:r>
      <w:proofErr w:type="gramEnd"/>
      <w:r w:rsidRPr="00F33763">
        <w:rPr>
          <w:rFonts w:ascii="Times New Roman" w:hAnsi="Times New Roman" w:cs="Times New Roman"/>
          <w:sz w:val="20"/>
          <w:szCs w:val="20"/>
        </w:rPr>
        <w:t xml:space="preserve"> Ill. 37; 131 N.E. 117 (1921).</w:t>
      </w:r>
    </w:p>
  </w:footnote>
  <w:footnote w:id="4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Id. at 47 (citing </w:t>
      </w:r>
      <w:r w:rsidRPr="00F33763">
        <w:rPr>
          <w:rFonts w:ascii="Times New Roman" w:hAnsi="Times New Roman" w:cs="Times New Roman"/>
          <w:i/>
          <w:sz w:val="20"/>
          <w:szCs w:val="20"/>
        </w:rPr>
        <w:t>O'Hare v. Chicago, Madison and Northern Railroad Co.</w:t>
      </w:r>
      <w:r w:rsidRPr="00F33763">
        <w:rPr>
          <w:rFonts w:ascii="Times New Roman" w:hAnsi="Times New Roman" w:cs="Times New Roman"/>
          <w:sz w:val="20"/>
          <w:szCs w:val="20"/>
        </w:rPr>
        <w:t xml:space="preserve"> 139 Ill. 151; 28 N.E. 151 (1891), </w:t>
      </w:r>
      <w:r w:rsidRPr="00F33763">
        <w:rPr>
          <w:rFonts w:ascii="Times New Roman" w:hAnsi="Times New Roman" w:cs="Times New Roman"/>
          <w:i/>
          <w:sz w:val="20"/>
          <w:szCs w:val="20"/>
        </w:rPr>
        <w:t>overruled on other grounds,</w:t>
      </w:r>
      <w:r w:rsidRPr="00F33763">
        <w:rPr>
          <w:rFonts w:ascii="Times New Roman" w:hAnsi="Times New Roman" w:cs="Times New Roman"/>
          <w:sz w:val="20"/>
          <w:szCs w:val="20"/>
        </w:rPr>
        <w:t xml:space="preserve"> </w:t>
      </w:r>
      <w:proofErr w:type="spellStart"/>
      <w:r w:rsidRPr="00F33763">
        <w:rPr>
          <w:rFonts w:ascii="Times New Roman" w:hAnsi="Times New Roman" w:cs="Times New Roman"/>
          <w:i/>
          <w:color w:val="333333"/>
          <w:sz w:val="20"/>
          <w:szCs w:val="20"/>
        </w:rPr>
        <w:t>Schnackenberg</w:t>
      </w:r>
      <w:proofErr w:type="spellEnd"/>
      <w:r w:rsidRPr="00F33763">
        <w:rPr>
          <w:rFonts w:ascii="Times New Roman" w:hAnsi="Times New Roman" w:cs="Times New Roman"/>
          <w:i/>
          <w:color w:val="333333"/>
          <w:sz w:val="20"/>
          <w:szCs w:val="20"/>
        </w:rPr>
        <w:t xml:space="preserve"> v. </w:t>
      </w:r>
      <w:proofErr w:type="spellStart"/>
      <w:r w:rsidRPr="00F33763">
        <w:rPr>
          <w:rFonts w:ascii="Times New Roman" w:hAnsi="Times New Roman" w:cs="Times New Roman"/>
          <w:i/>
          <w:color w:val="333333"/>
          <w:sz w:val="20"/>
          <w:szCs w:val="20"/>
        </w:rPr>
        <w:t>Towle</w:t>
      </w:r>
      <w:proofErr w:type="spellEnd"/>
      <w:r w:rsidRPr="00F33763">
        <w:rPr>
          <w:rStyle w:val="apple-style-span"/>
          <w:rFonts w:ascii="Times New Roman" w:hAnsi="Times New Roman" w:cs="Times New Roman"/>
          <w:i/>
          <w:color w:val="333333"/>
          <w:sz w:val="20"/>
          <w:szCs w:val="20"/>
        </w:rPr>
        <w:t>,</w:t>
      </w:r>
      <w:r w:rsidRPr="00F33763">
        <w:rPr>
          <w:rStyle w:val="apple-style-span"/>
          <w:rFonts w:ascii="Times New Roman" w:hAnsi="Times New Roman" w:cs="Times New Roman"/>
          <w:color w:val="333333"/>
          <w:sz w:val="20"/>
          <w:szCs w:val="20"/>
        </w:rPr>
        <w:t xml:space="preserve"> 4 Ill. 2d 561, 123 N.E.2d 817 (1954)). </w:t>
      </w:r>
    </w:p>
  </w:footnote>
  <w:footnote w:id="4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Id. (citing </w:t>
      </w:r>
      <w:r w:rsidRPr="00F33763">
        <w:rPr>
          <w:rFonts w:ascii="Times New Roman" w:hAnsi="Times New Roman" w:cs="Times New Roman"/>
          <w:i/>
          <w:sz w:val="20"/>
          <w:szCs w:val="20"/>
        </w:rPr>
        <w:t>Chandler v. Jamaica Pond Aqueduct Corporation</w:t>
      </w:r>
      <w:r w:rsidRPr="00F33763">
        <w:rPr>
          <w:rFonts w:ascii="Times New Roman" w:hAnsi="Times New Roman" w:cs="Times New Roman"/>
          <w:sz w:val="20"/>
          <w:szCs w:val="20"/>
        </w:rPr>
        <w:t>, 122 Mass. 305 (1877)).</w:t>
      </w:r>
    </w:p>
  </w:footnote>
  <w:footnote w:id="4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293 Ill. 556, 562</w:t>
      </w:r>
      <w:proofErr w:type="gramStart"/>
      <w:r w:rsidRPr="00F33763">
        <w:rPr>
          <w:rFonts w:ascii="Times New Roman" w:hAnsi="Times New Roman" w:cs="Times New Roman"/>
          <w:sz w:val="20"/>
          <w:szCs w:val="20"/>
        </w:rPr>
        <w:t>;</w:t>
      </w:r>
      <w:proofErr w:type="gramEnd"/>
      <w:r w:rsidRPr="00F33763">
        <w:rPr>
          <w:rFonts w:ascii="Times New Roman" w:hAnsi="Times New Roman" w:cs="Times New Roman"/>
          <w:sz w:val="20"/>
          <w:szCs w:val="20"/>
        </w:rPr>
        <w:t xml:space="preserve"> 127 N.E. 878 (1920).</w:t>
      </w:r>
    </w:p>
  </w:footnote>
  <w:footnote w:id="50">
    <w:p w:rsidR="0048673B" w:rsidRPr="00F33763" w:rsidRDefault="0048673B" w:rsidP="00446B31">
      <w:pPr>
        <w:pStyle w:val="FootnoteText"/>
        <w:rPr>
          <w:rFonts w:ascii="Times New Roman" w:hAnsi="Times New Roman" w:cs="Times New Roman"/>
          <w:vertAlign w:val="superscript"/>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vertAlign w:val="superscript"/>
        </w:rPr>
        <w:t xml:space="preserve">  </w:t>
      </w:r>
      <w:r w:rsidRPr="00F33763">
        <w:rPr>
          <w:rFonts w:ascii="Times New Roman" w:hAnsi="Times New Roman" w:cs="Times New Roman"/>
        </w:rPr>
        <w:t>Id. at 562-563 (citing Lewis on Eminent Domain, 2d ed. § 443).</w:t>
      </w:r>
    </w:p>
  </w:footnote>
  <w:footnote w:id="51">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103</w:t>
      </w:r>
      <w:proofErr w:type="gramEnd"/>
      <w:r w:rsidRPr="00F33763">
        <w:rPr>
          <w:rFonts w:ascii="Times New Roman" w:hAnsi="Times New Roman" w:cs="Times New Roman"/>
          <w:sz w:val="20"/>
          <w:szCs w:val="20"/>
        </w:rPr>
        <w:t xml:space="preserve"> Mass. 365 (Mass. 1869).</w:t>
      </w:r>
    </w:p>
  </w:footnote>
  <w:footnote w:id="52">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Kean,</w:t>
      </w:r>
      <w:r w:rsidRPr="00F33763">
        <w:rPr>
          <w:rFonts w:ascii="Times New Roman" w:hAnsi="Times New Roman" w:cs="Times New Roman"/>
          <w:sz w:val="20"/>
          <w:szCs w:val="20"/>
        </w:rPr>
        <w:t xml:space="preserve"> 298 Ill. at 48 (emphasis added).</w:t>
      </w:r>
    </w:p>
  </w:footnote>
  <w:footnote w:id="53">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274</w:t>
      </w:r>
      <w:proofErr w:type="gramEnd"/>
      <w:r w:rsidRPr="00F33763">
        <w:rPr>
          <w:rFonts w:ascii="Times New Roman" w:hAnsi="Times New Roman" w:cs="Times New Roman"/>
          <w:sz w:val="20"/>
          <w:szCs w:val="20"/>
        </w:rPr>
        <w:t xml:space="preserve"> S.W.2d 165 (Tex. Civ. App. 1954).</w:t>
      </w:r>
    </w:p>
  </w:footnote>
  <w:footnote w:id="54">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167.</w:t>
      </w:r>
    </w:p>
  </w:footnote>
  <w:footnote w:id="55">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167-68.</w:t>
      </w:r>
    </w:p>
  </w:footnote>
  <w:footnote w:id="56">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252</w:t>
      </w:r>
      <w:proofErr w:type="gramEnd"/>
      <w:r w:rsidRPr="00F33763">
        <w:rPr>
          <w:rFonts w:ascii="Times New Roman" w:hAnsi="Times New Roman" w:cs="Times New Roman"/>
          <w:sz w:val="20"/>
          <w:szCs w:val="20"/>
        </w:rPr>
        <w:t xml:space="preserve"> S.W.2d 963 (Tex. Civ. App. 1952).</w:t>
      </w:r>
    </w:p>
  </w:footnote>
  <w:footnote w:id="57">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i/>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965-66 (citing Texas Law of Evidence, McCormick and Ray, 908; </w:t>
      </w:r>
      <w:r w:rsidRPr="00F33763">
        <w:rPr>
          <w:rStyle w:val="Hyperlink6"/>
          <w:rFonts w:ascii="Times New Roman" w:hAnsi="Times New Roman" w:cs="Times New Roman"/>
          <w:i/>
          <w:u w:val="none"/>
        </w:rPr>
        <w:t xml:space="preserve">Joyce v. Dallas County, </w:t>
      </w:r>
      <w:r w:rsidRPr="00F33763">
        <w:rPr>
          <w:rStyle w:val="Hyperlink6"/>
          <w:rFonts w:ascii="Times New Roman" w:hAnsi="Times New Roman" w:cs="Times New Roman"/>
          <w:u w:val="none"/>
        </w:rPr>
        <w:t>141 S.W.2d 745 (Tex. Civ. App. 1940).</w:t>
      </w:r>
    </w:p>
  </w:footnote>
  <w:footnote w:id="58">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153</w:t>
      </w:r>
      <w:proofErr w:type="gramEnd"/>
      <w:r w:rsidRPr="00F33763">
        <w:rPr>
          <w:rFonts w:ascii="Times New Roman" w:hAnsi="Times New Roman" w:cs="Times New Roman"/>
          <w:sz w:val="20"/>
          <w:szCs w:val="20"/>
        </w:rPr>
        <w:t xml:space="preserve"> S.W.2d 269 (Tex. Civ. App. 1941).</w:t>
      </w:r>
    </w:p>
  </w:footnote>
  <w:footnote w:id="59">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270.</w:t>
      </w:r>
    </w:p>
  </w:footnote>
  <w:footnote w:id="60">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48 </w:t>
      </w:r>
      <w:proofErr w:type="gramStart"/>
      <w:r w:rsidRPr="00F33763">
        <w:rPr>
          <w:rFonts w:ascii="Times New Roman" w:hAnsi="Times New Roman" w:cs="Times New Roman"/>
          <w:sz w:val="20"/>
          <w:szCs w:val="20"/>
        </w:rPr>
        <w:t>Haw</w:t>
      </w:r>
      <w:proofErr w:type="gramEnd"/>
      <w:r w:rsidRPr="00F33763">
        <w:rPr>
          <w:rFonts w:ascii="Times New Roman" w:hAnsi="Times New Roman" w:cs="Times New Roman"/>
          <w:sz w:val="20"/>
          <w:szCs w:val="20"/>
        </w:rPr>
        <w:t>. 101</w:t>
      </w:r>
      <w:proofErr w:type="gramStart"/>
      <w:r w:rsidRPr="00F33763">
        <w:rPr>
          <w:rFonts w:ascii="Times New Roman" w:hAnsi="Times New Roman" w:cs="Times New Roman"/>
          <w:sz w:val="20"/>
          <w:szCs w:val="20"/>
        </w:rPr>
        <w:t>;</w:t>
      </w:r>
      <w:proofErr w:type="gramEnd"/>
      <w:r w:rsidRPr="00F33763">
        <w:rPr>
          <w:rFonts w:ascii="Times New Roman" w:hAnsi="Times New Roman" w:cs="Times New Roman"/>
          <w:sz w:val="20"/>
          <w:szCs w:val="20"/>
        </w:rPr>
        <w:t xml:space="preserve"> 395 P.2d 932 (1964).</w:t>
      </w:r>
    </w:p>
  </w:footnote>
  <w:footnote w:id="61">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111 (citing </w:t>
      </w:r>
      <w:proofErr w:type="gramStart"/>
      <w:r w:rsidRPr="00F33763">
        <w:rPr>
          <w:rFonts w:ascii="Times New Roman" w:hAnsi="Times New Roman" w:cs="Times New Roman"/>
          <w:sz w:val="20"/>
          <w:szCs w:val="20"/>
        </w:rPr>
        <w:t>1</w:t>
      </w:r>
      <w:proofErr w:type="gramEnd"/>
      <w:r w:rsidRPr="00F33763">
        <w:rPr>
          <w:rFonts w:ascii="Times New Roman" w:hAnsi="Times New Roman" w:cs="Times New Roman"/>
          <w:sz w:val="20"/>
          <w:szCs w:val="20"/>
        </w:rPr>
        <w:t xml:space="preserve"> </w:t>
      </w:r>
      <w:proofErr w:type="spellStart"/>
      <w:r w:rsidRPr="00F33763">
        <w:rPr>
          <w:rFonts w:ascii="Times New Roman" w:hAnsi="Times New Roman" w:cs="Times New Roman"/>
          <w:sz w:val="20"/>
          <w:szCs w:val="20"/>
        </w:rPr>
        <w:t>Orgel</w:t>
      </w:r>
      <w:proofErr w:type="spellEnd"/>
      <w:r w:rsidRPr="00F33763">
        <w:rPr>
          <w:rFonts w:ascii="Times New Roman" w:hAnsi="Times New Roman" w:cs="Times New Roman"/>
          <w:sz w:val="20"/>
          <w:szCs w:val="20"/>
        </w:rPr>
        <w:t xml:space="preserve"> on </w:t>
      </w:r>
      <w:r w:rsidRPr="00F33763">
        <w:rPr>
          <w:rFonts w:ascii="Times New Roman" w:hAnsi="Times New Roman" w:cs="Times New Roman"/>
          <w:iCs/>
          <w:sz w:val="20"/>
          <w:szCs w:val="20"/>
        </w:rPr>
        <w:t>Valuation Under Eminent Domain</w:t>
      </w:r>
      <w:r w:rsidRPr="00F33763">
        <w:rPr>
          <w:rFonts w:ascii="Times New Roman" w:hAnsi="Times New Roman" w:cs="Times New Roman"/>
          <w:sz w:val="20"/>
          <w:szCs w:val="20"/>
        </w:rPr>
        <w:t xml:space="preserve"> (2d ed.) § 139).</w:t>
      </w:r>
    </w:p>
  </w:footnote>
  <w:footnote w:id="62">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6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112.</w:t>
      </w:r>
    </w:p>
  </w:footnote>
  <w:footnote w:id="6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112-113 (emphasis added).</w:t>
      </w:r>
    </w:p>
  </w:footnote>
  <w:footnote w:id="6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 xml:space="preserve">In re Memorial Site, City of Detroit v. </w:t>
      </w:r>
      <w:proofErr w:type="spellStart"/>
      <w:r w:rsidRPr="00F33763">
        <w:rPr>
          <w:rFonts w:ascii="Times New Roman" w:hAnsi="Times New Roman" w:cs="Times New Roman"/>
          <w:i/>
          <w:sz w:val="20"/>
          <w:szCs w:val="20"/>
        </w:rPr>
        <w:t>Cristy</w:t>
      </w:r>
      <w:proofErr w:type="spellEnd"/>
      <w:r w:rsidRPr="00F33763">
        <w:rPr>
          <w:rFonts w:ascii="Times New Roman" w:hAnsi="Times New Roman" w:cs="Times New Roman"/>
          <w:sz w:val="20"/>
          <w:szCs w:val="20"/>
        </w:rPr>
        <w:t>, 316 Mich. 215, 200</w:t>
      </w:r>
      <w:proofErr w:type="gramStart"/>
      <w:r w:rsidRPr="00F33763">
        <w:rPr>
          <w:rFonts w:ascii="Times New Roman" w:hAnsi="Times New Roman" w:cs="Times New Roman"/>
          <w:sz w:val="20"/>
          <w:szCs w:val="20"/>
        </w:rPr>
        <w:t>;</w:t>
      </w:r>
      <w:proofErr w:type="gramEnd"/>
      <w:r w:rsidRPr="00F33763">
        <w:rPr>
          <w:rFonts w:ascii="Times New Roman" w:hAnsi="Times New Roman" w:cs="Times New Roman"/>
          <w:sz w:val="20"/>
          <w:szCs w:val="20"/>
        </w:rPr>
        <w:t xml:space="preserve"> 25 N.W.2d 174 (1946).</w:t>
      </w:r>
    </w:p>
  </w:footnote>
  <w:footnote w:id="66">
    <w:p w:rsidR="0048673B" w:rsidRPr="00F33763" w:rsidRDefault="0048673B" w:rsidP="007800B3">
      <w:pPr>
        <w:shd w:val="clear" w:color="auto" w:fill="FFFFFF"/>
        <w:rPr>
          <w:rFonts w:ascii="Times New Roman" w:eastAsia="Times New Roman" w:hAnsi="Times New Roman" w:cs="Times New Roman"/>
          <w:color w:val="333333"/>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Unpublished opinion of the Court of Appeals of Michigan, issued Aug. 9, 2005 (Docket Nos. </w:t>
      </w:r>
      <w:r w:rsidRPr="00F33763">
        <w:rPr>
          <w:rFonts w:ascii="Times New Roman" w:eastAsia="Times New Roman" w:hAnsi="Times New Roman" w:cs="Times New Roman"/>
          <w:color w:val="333333"/>
          <w:sz w:val="20"/>
          <w:szCs w:val="20"/>
        </w:rPr>
        <w:t>251799, 251800, 251801, 251802, 251869, 251870).</w:t>
      </w:r>
    </w:p>
  </w:footnote>
  <w:footnote w:id="6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35.</w:t>
      </w:r>
    </w:p>
  </w:footnote>
  <w:footnote w:id="6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394</w:t>
      </w:r>
      <w:proofErr w:type="gramEnd"/>
      <w:r w:rsidRPr="00F33763">
        <w:rPr>
          <w:rFonts w:ascii="Times New Roman" w:hAnsi="Times New Roman" w:cs="Times New Roman"/>
          <w:sz w:val="20"/>
          <w:szCs w:val="20"/>
        </w:rPr>
        <w:t xml:space="preserve"> Mich. 126; 229 N.W.2d 797 (1975).</w:t>
      </w:r>
    </w:p>
  </w:footnote>
  <w:footnote w:id="6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141.</w:t>
      </w:r>
    </w:p>
  </w:footnote>
  <w:footnote w:id="70">
    <w:p w:rsidR="0048673B" w:rsidRPr="00F33763" w:rsidRDefault="0048673B" w:rsidP="0078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See</w:t>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Page v. Klein Tools, Inc.,</w:t>
      </w:r>
      <w:r w:rsidRPr="00F33763">
        <w:rPr>
          <w:rFonts w:ascii="Times New Roman" w:hAnsi="Times New Roman" w:cs="Times New Roman"/>
          <w:sz w:val="20"/>
          <w:szCs w:val="20"/>
        </w:rPr>
        <w:t xml:space="preserve"> 461 Mich. 703; 610 N.W.2d 900 (2000) (Plaintiff claimed that his injuries in a fall from a utility pole were due to improper instruction at a trade school, but the Court refused to recognize educational malpractice in Michigan. Among other things, the Court found that the injury was too remote in time and place from the allegedly negligent instruction, and that the connection between the injury and the alleged negligence were remote at best.).</w:t>
      </w:r>
    </w:p>
  </w:footnote>
  <w:footnote w:id="7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 xml:space="preserve">See </w:t>
      </w:r>
      <w:r w:rsidRPr="00F33763">
        <w:rPr>
          <w:rFonts w:ascii="Times New Roman" w:hAnsi="Times New Roman" w:cs="Times New Roman"/>
          <w:i/>
          <w:sz w:val="20"/>
          <w:szCs w:val="20"/>
        </w:rPr>
        <w:t>Dept. of Transp. v. Haggerty Corridor Partners</w:t>
      </w:r>
      <w:r w:rsidRPr="00F33763">
        <w:rPr>
          <w:rFonts w:ascii="Times New Roman" w:hAnsi="Times New Roman" w:cs="Times New Roman"/>
          <w:sz w:val="20"/>
          <w:szCs w:val="20"/>
        </w:rPr>
        <w:t>, 473 Mich. 124</w:t>
      </w:r>
      <w:proofErr w:type="gramStart"/>
      <w:r w:rsidRPr="00F33763">
        <w:rPr>
          <w:rFonts w:ascii="Times New Roman" w:hAnsi="Times New Roman" w:cs="Times New Roman"/>
          <w:sz w:val="20"/>
          <w:szCs w:val="20"/>
        </w:rPr>
        <w:t>;</w:t>
      </w:r>
      <w:proofErr w:type="gramEnd"/>
      <w:r w:rsidRPr="00F33763">
        <w:rPr>
          <w:rFonts w:ascii="Times New Roman" w:hAnsi="Times New Roman" w:cs="Times New Roman"/>
          <w:sz w:val="20"/>
          <w:szCs w:val="20"/>
        </w:rPr>
        <w:t xml:space="preserve"> 700 N.W.2d 380 (2005).</w:t>
      </w:r>
    </w:p>
  </w:footnote>
  <w:footnote w:id="72">
    <w:p w:rsidR="0048673B" w:rsidRPr="00F33763" w:rsidRDefault="0048673B" w:rsidP="0078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See</w:t>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 xml:space="preserve">Jacobson v. </w:t>
      </w:r>
      <w:proofErr w:type="spellStart"/>
      <w:r w:rsidRPr="00F33763">
        <w:rPr>
          <w:rFonts w:ascii="Times New Roman" w:hAnsi="Times New Roman" w:cs="Times New Roman"/>
          <w:i/>
          <w:sz w:val="20"/>
          <w:szCs w:val="20"/>
        </w:rPr>
        <w:t>Parda</w:t>
      </w:r>
      <w:proofErr w:type="spellEnd"/>
      <w:r w:rsidRPr="00F33763">
        <w:rPr>
          <w:rFonts w:ascii="Times New Roman" w:hAnsi="Times New Roman" w:cs="Times New Roman"/>
          <w:i/>
          <w:sz w:val="20"/>
          <w:szCs w:val="20"/>
        </w:rPr>
        <w:t xml:space="preserve"> Fed. Credit Union</w:t>
      </w:r>
      <w:r w:rsidRPr="00F33763">
        <w:rPr>
          <w:rFonts w:ascii="Times New Roman" w:hAnsi="Times New Roman" w:cs="Times New Roman"/>
          <w:sz w:val="20"/>
          <w:szCs w:val="20"/>
        </w:rPr>
        <w:t>, 457 Mich. 318, 327-28</w:t>
      </w:r>
      <w:proofErr w:type="gramStart"/>
      <w:r w:rsidRPr="00F33763">
        <w:rPr>
          <w:rFonts w:ascii="Times New Roman" w:hAnsi="Times New Roman" w:cs="Times New Roman"/>
          <w:sz w:val="20"/>
          <w:szCs w:val="20"/>
        </w:rPr>
        <w:t>;</w:t>
      </w:r>
      <w:proofErr w:type="gramEnd"/>
      <w:r w:rsidRPr="00F33763">
        <w:rPr>
          <w:rFonts w:ascii="Times New Roman" w:hAnsi="Times New Roman" w:cs="Times New Roman"/>
          <w:sz w:val="20"/>
          <w:szCs w:val="20"/>
        </w:rPr>
        <w:t xml:space="preserve"> 577 N.W.2d 881 (1998) (“[T]o say that a discharge occurred whenever an employer’s action that resulted in the discharge occurred would be to set a date of occurrence in retrospect. . . . We decline the defendant’s invitation to depart from our longstanding rule that discharge occurs when a reasonable person in the employee’s place would feel compelled to resign. In analyzing such circumstances, we cannot know what place the employee is in, and hence evaluate her conduct, until she actually resigns.”).</w:t>
      </w:r>
    </w:p>
  </w:footnote>
  <w:footnote w:id="7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478</w:t>
      </w:r>
      <w:proofErr w:type="gramEnd"/>
      <w:r w:rsidRPr="00F33763">
        <w:rPr>
          <w:rFonts w:ascii="Times New Roman" w:hAnsi="Times New Roman" w:cs="Times New Roman"/>
          <w:sz w:val="20"/>
          <w:szCs w:val="20"/>
        </w:rPr>
        <w:t xml:space="preserve"> S.W.2d 670 (Mo. 1972).</w:t>
      </w:r>
    </w:p>
  </w:footnote>
  <w:footnote w:id="7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677.</w:t>
      </w:r>
    </w:p>
  </w:footnote>
  <w:footnote w:id="7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674 (citing </w:t>
      </w:r>
      <w:r w:rsidRPr="00F33763">
        <w:rPr>
          <w:rFonts w:ascii="Times New Roman" w:hAnsi="Times New Roman" w:cs="Times New Roman"/>
          <w:i/>
          <w:iCs/>
          <w:sz w:val="20"/>
          <w:szCs w:val="20"/>
        </w:rPr>
        <w:t>Halemano Kapahi</w:t>
      </w:r>
      <w:r w:rsidRPr="00F33763">
        <w:rPr>
          <w:rFonts w:ascii="Times New Roman" w:hAnsi="Times New Roman" w:cs="Times New Roman"/>
          <w:sz w:val="20"/>
          <w:szCs w:val="20"/>
        </w:rPr>
        <w:t>, 48 Haw. at 111).</w:t>
      </w:r>
      <w:r w:rsidRPr="00F33763">
        <w:rPr>
          <w:rFonts w:ascii="Times New Roman" w:hAnsi="Times New Roman" w:cs="Times New Roman"/>
          <w:i/>
          <w:iCs/>
          <w:sz w:val="20"/>
          <w:szCs w:val="20"/>
        </w:rPr>
        <w:t xml:space="preserve"> </w:t>
      </w:r>
    </w:p>
  </w:footnote>
  <w:footnote w:id="7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524</w:t>
      </w:r>
      <w:proofErr w:type="gramEnd"/>
      <w:r w:rsidRPr="00F33763">
        <w:rPr>
          <w:rFonts w:ascii="Times New Roman" w:hAnsi="Times New Roman" w:cs="Times New Roman"/>
          <w:sz w:val="20"/>
          <w:szCs w:val="20"/>
        </w:rPr>
        <w:t xml:space="preserve"> S.E.2d 83 (N.C. Ct. App. 2000).</w:t>
      </w:r>
    </w:p>
  </w:footnote>
  <w:footnote w:id="7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i/>
          <w:iCs/>
          <w:sz w:val="20"/>
          <w:szCs w:val="20"/>
        </w:rPr>
        <w:t>.</w:t>
      </w:r>
      <w:r w:rsidRPr="00F33763">
        <w:rPr>
          <w:rFonts w:ascii="Times New Roman" w:hAnsi="Times New Roman" w:cs="Times New Roman"/>
          <w:sz w:val="20"/>
          <w:szCs w:val="20"/>
        </w:rPr>
        <w:t xml:space="preserve"> at 377-78.</w:t>
      </w:r>
    </w:p>
  </w:footnote>
  <w:footnote w:id="7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377 (citing </w:t>
      </w:r>
      <w:r w:rsidRPr="00F33763">
        <w:rPr>
          <w:rStyle w:val="Hyperlink6"/>
          <w:rFonts w:ascii="Times New Roman" w:hAnsi="Times New Roman" w:cs="Times New Roman"/>
          <w:i/>
          <w:iCs/>
          <w:u w:val="none"/>
        </w:rPr>
        <w:t xml:space="preserve">Power Co. v. </w:t>
      </w:r>
      <w:proofErr w:type="spellStart"/>
      <w:r w:rsidRPr="00F33763">
        <w:rPr>
          <w:rStyle w:val="Hyperlink6"/>
          <w:rFonts w:ascii="Times New Roman" w:hAnsi="Times New Roman" w:cs="Times New Roman"/>
          <w:i/>
          <w:iCs/>
          <w:u w:val="none"/>
        </w:rPr>
        <w:t>Winebarger</w:t>
      </w:r>
      <w:proofErr w:type="spellEnd"/>
      <w:r w:rsidRPr="00F33763">
        <w:rPr>
          <w:rStyle w:val="Hyperlink6"/>
          <w:rFonts w:ascii="Times New Roman" w:hAnsi="Times New Roman" w:cs="Times New Roman"/>
          <w:i/>
          <w:iCs/>
          <w:u w:val="none"/>
        </w:rPr>
        <w:t xml:space="preserve">, </w:t>
      </w:r>
      <w:r w:rsidRPr="00F33763">
        <w:rPr>
          <w:rStyle w:val="Hyperlink6"/>
          <w:rFonts w:ascii="Times New Roman" w:hAnsi="Times New Roman" w:cs="Times New Roman"/>
          <w:u w:val="none"/>
        </w:rPr>
        <w:t>300 N.C. 57, 65; 265 S.E.2d 227 (1980)).</w:t>
      </w:r>
    </w:p>
  </w:footnote>
  <w:footnote w:id="7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F33763">
        <w:rPr>
          <w:rStyle w:val="Hyperlink6"/>
          <w:rFonts w:ascii="Times New Roman" w:hAnsi="Times New Roman" w:cs="Times New Roman"/>
          <w:i/>
          <w:iCs/>
          <w:u w:val="none"/>
        </w:rPr>
        <w:t>City of Winston-Salem v. Cooper</w:t>
      </w:r>
      <w:r w:rsidRPr="00F33763">
        <w:rPr>
          <w:rStyle w:val="Hyperlink6"/>
          <w:rFonts w:ascii="Times New Roman" w:hAnsi="Times New Roman" w:cs="Times New Roman"/>
          <w:u w:val="none"/>
        </w:rPr>
        <w:t>, 315 N.C. 702, 711; 340 S.E.2d 366 (1972).</w:t>
      </w:r>
    </w:p>
  </w:footnote>
  <w:footnote w:id="80">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8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(emphasis added).</w:t>
      </w:r>
    </w:p>
  </w:footnote>
  <w:footnote w:id="82">
    <w:p w:rsidR="0048673B" w:rsidRPr="00F33763" w:rsidRDefault="0048673B" w:rsidP="00643FAC">
      <w:pPr>
        <w:shd w:val="clear" w:color="auto" w:fill="FFFFFF"/>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Unpublished opinion of the S</w:t>
      </w:r>
      <w:r w:rsidRPr="00F33763">
        <w:rPr>
          <w:rStyle w:val="apple-style-span"/>
          <w:rFonts w:ascii="Times New Roman" w:hAnsi="Times New Roman" w:cs="Times New Roman"/>
          <w:color w:val="333333"/>
          <w:sz w:val="20"/>
          <w:szCs w:val="20"/>
          <w:shd w:val="clear" w:color="auto" w:fill="FFFFFF"/>
        </w:rPr>
        <w:t xml:space="preserve">uperior Court </w:t>
      </w:r>
      <w:proofErr w:type="gramStart"/>
      <w:r w:rsidRPr="00F33763">
        <w:rPr>
          <w:rStyle w:val="apple-style-span"/>
          <w:rFonts w:ascii="Times New Roman" w:hAnsi="Times New Roman" w:cs="Times New Roman"/>
          <w:color w:val="333333"/>
          <w:sz w:val="20"/>
          <w:szCs w:val="20"/>
          <w:shd w:val="clear" w:color="auto" w:fill="FFFFFF"/>
        </w:rPr>
        <w:t>Of</w:t>
      </w:r>
      <w:proofErr w:type="gramEnd"/>
      <w:r w:rsidRPr="00F33763">
        <w:rPr>
          <w:rStyle w:val="apple-style-span"/>
          <w:rFonts w:ascii="Times New Roman" w:hAnsi="Times New Roman" w:cs="Times New Roman"/>
          <w:color w:val="333333"/>
          <w:sz w:val="20"/>
          <w:szCs w:val="20"/>
          <w:shd w:val="clear" w:color="auto" w:fill="FFFFFF"/>
        </w:rPr>
        <w:t xml:space="preserve"> Connecticut, Jud. Dist. Of Windham, </w:t>
      </w:r>
      <w:r w:rsidRPr="00F33763">
        <w:rPr>
          <w:rFonts w:ascii="Times New Roman" w:hAnsi="Times New Roman" w:cs="Times New Roman"/>
          <w:iCs/>
          <w:sz w:val="20"/>
          <w:szCs w:val="20"/>
        </w:rPr>
        <w:t>issued Oct. 20, 2000 (Docket No.</w:t>
      </w:r>
      <w:r w:rsidRPr="00F33763">
        <w:rPr>
          <w:rStyle w:val="apple-style-span"/>
          <w:rFonts w:ascii="Times New Roman" w:hAnsi="Times New Roman" w:cs="Times New Roman"/>
          <w:color w:val="333333"/>
          <w:sz w:val="20"/>
          <w:szCs w:val="20"/>
          <w:shd w:val="clear" w:color="auto" w:fill="FFFFFF"/>
        </w:rPr>
        <w:t>058636</w:t>
      </w:r>
      <w:r w:rsidRPr="00F33763">
        <w:rPr>
          <w:rFonts w:ascii="Times New Roman" w:hAnsi="Times New Roman" w:cs="Times New Roman"/>
          <w:sz w:val="20"/>
          <w:szCs w:val="20"/>
        </w:rPr>
        <w:t xml:space="preserve">). </w:t>
      </w:r>
    </w:p>
  </w:footnote>
  <w:footnote w:id="8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179</w:t>
      </w:r>
      <w:proofErr w:type="gramEnd"/>
      <w:r w:rsidRPr="00F33763">
        <w:rPr>
          <w:rFonts w:ascii="Times New Roman" w:hAnsi="Times New Roman" w:cs="Times New Roman"/>
          <w:sz w:val="20"/>
          <w:szCs w:val="20"/>
        </w:rPr>
        <w:t xml:space="preserve"> Conn. 293; 426 A.2d 280 (1979).</w:t>
      </w:r>
    </w:p>
  </w:footnote>
  <w:footnote w:id="8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287.</w:t>
      </w:r>
    </w:p>
  </w:footnote>
  <w:footnote w:id="8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8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iCs/>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w:t>
      </w:r>
      <w:proofErr w:type="gramStart"/>
      <w:r w:rsidRPr="00F33763">
        <w:rPr>
          <w:rFonts w:ascii="Times New Roman" w:hAnsi="Times New Roman" w:cs="Times New Roman"/>
          <w:iCs/>
          <w:sz w:val="20"/>
          <w:szCs w:val="20"/>
        </w:rPr>
        <w:t>344</w:t>
      </w:r>
      <w:proofErr w:type="gramEnd"/>
      <w:r w:rsidRPr="00F33763">
        <w:rPr>
          <w:rFonts w:ascii="Times New Roman" w:hAnsi="Times New Roman" w:cs="Times New Roman"/>
          <w:iCs/>
          <w:sz w:val="20"/>
          <w:szCs w:val="20"/>
        </w:rPr>
        <w:t xml:space="preserve"> So.2d 424 (La. App. 1 Cir. 1977).</w:t>
      </w:r>
    </w:p>
  </w:footnote>
  <w:footnote w:id="8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425-26.</w:t>
      </w:r>
    </w:p>
  </w:footnote>
  <w:footnote w:id="8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425 (citing </w:t>
      </w:r>
      <w:r w:rsidRPr="00F33763">
        <w:rPr>
          <w:rFonts w:ascii="Times New Roman" w:hAnsi="Times New Roman" w:cs="Times New Roman"/>
          <w:i/>
          <w:sz w:val="20"/>
          <w:szCs w:val="20"/>
        </w:rPr>
        <w:t>Dept. of Hwys. v. Colby</w:t>
      </w:r>
      <w:r w:rsidRPr="00F33763">
        <w:rPr>
          <w:rFonts w:ascii="Times New Roman" w:hAnsi="Times New Roman" w:cs="Times New Roman"/>
          <w:sz w:val="20"/>
          <w:szCs w:val="20"/>
        </w:rPr>
        <w:t>, 321 So.2d 878 (</w:t>
      </w:r>
      <w:proofErr w:type="spellStart"/>
      <w:r w:rsidRPr="00F33763">
        <w:rPr>
          <w:rFonts w:ascii="Times New Roman" w:hAnsi="Times New Roman" w:cs="Times New Roman"/>
          <w:sz w:val="20"/>
          <w:szCs w:val="20"/>
        </w:rPr>
        <w:t>La.App</w:t>
      </w:r>
      <w:proofErr w:type="spellEnd"/>
      <w:r w:rsidRPr="00F33763">
        <w:rPr>
          <w:rFonts w:ascii="Times New Roman" w:hAnsi="Times New Roman" w:cs="Times New Roman"/>
          <w:sz w:val="20"/>
          <w:szCs w:val="20"/>
        </w:rPr>
        <w:t xml:space="preserve">. 1st Cir. 1974); </w:t>
      </w:r>
      <w:r w:rsidRPr="00F33763">
        <w:rPr>
          <w:rFonts w:ascii="Times New Roman" w:hAnsi="Times New Roman" w:cs="Times New Roman"/>
          <w:i/>
          <w:sz w:val="20"/>
          <w:szCs w:val="20"/>
        </w:rPr>
        <w:t>Dept. of Hwys</w:t>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v. Christy</w:t>
      </w:r>
      <w:r w:rsidRPr="00F33763">
        <w:rPr>
          <w:rFonts w:ascii="Times New Roman" w:hAnsi="Times New Roman" w:cs="Times New Roman"/>
          <w:sz w:val="20"/>
          <w:szCs w:val="20"/>
        </w:rPr>
        <w:t>, 283 So.2d 533 (</w:t>
      </w:r>
      <w:proofErr w:type="spellStart"/>
      <w:r w:rsidRPr="00F33763">
        <w:rPr>
          <w:rFonts w:ascii="Times New Roman" w:hAnsi="Times New Roman" w:cs="Times New Roman"/>
          <w:sz w:val="20"/>
          <w:szCs w:val="20"/>
        </w:rPr>
        <w:t>La.App</w:t>
      </w:r>
      <w:proofErr w:type="spellEnd"/>
      <w:r w:rsidRPr="00F33763">
        <w:rPr>
          <w:rFonts w:ascii="Times New Roman" w:hAnsi="Times New Roman" w:cs="Times New Roman"/>
          <w:sz w:val="20"/>
          <w:szCs w:val="20"/>
        </w:rPr>
        <w:t xml:space="preserve">. 1st Cir. 1973); </w:t>
      </w:r>
      <w:proofErr w:type="spellStart"/>
      <w:r w:rsidRPr="00F33763">
        <w:rPr>
          <w:rFonts w:ascii="Times New Roman" w:hAnsi="Times New Roman" w:cs="Times New Roman"/>
          <w:i/>
          <w:sz w:val="20"/>
          <w:szCs w:val="20"/>
        </w:rPr>
        <w:t>Dept.of</w:t>
      </w:r>
      <w:proofErr w:type="spellEnd"/>
      <w:r w:rsidRPr="00F33763">
        <w:rPr>
          <w:rFonts w:ascii="Times New Roman" w:hAnsi="Times New Roman" w:cs="Times New Roman"/>
          <w:i/>
          <w:sz w:val="20"/>
          <w:szCs w:val="20"/>
        </w:rPr>
        <w:t xml:space="preserve"> Hwys</w:t>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v. St. Tammany Homestead Assn.,</w:t>
      </w:r>
      <w:r w:rsidRPr="00F33763">
        <w:rPr>
          <w:rFonts w:ascii="Times New Roman" w:hAnsi="Times New Roman" w:cs="Times New Roman"/>
          <w:sz w:val="20"/>
          <w:szCs w:val="20"/>
        </w:rPr>
        <w:t xml:space="preserve"> 304 So.2d 765 (</w:t>
      </w:r>
      <w:proofErr w:type="spellStart"/>
      <w:r w:rsidRPr="00F33763">
        <w:rPr>
          <w:rFonts w:ascii="Times New Roman" w:hAnsi="Times New Roman" w:cs="Times New Roman"/>
          <w:sz w:val="20"/>
          <w:szCs w:val="20"/>
        </w:rPr>
        <w:t>La.App</w:t>
      </w:r>
      <w:proofErr w:type="spellEnd"/>
      <w:r w:rsidRPr="00F33763">
        <w:rPr>
          <w:rFonts w:ascii="Times New Roman" w:hAnsi="Times New Roman" w:cs="Times New Roman"/>
          <w:sz w:val="20"/>
          <w:szCs w:val="20"/>
        </w:rPr>
        <w:t>. 1st Cir. 1975)).</w:t>
      </w:r>
    </w:p>
  </w:footnote>
  <w:footnote w:id="8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426 (citing</w:t>
      </w:r>
      <w:r w:rsidRPr="00F33763">
        <w:rPr>
          <w:rFonts w:ascii="Times New Roman" w:hAnsi="Times New Roman" w:cs="Times New Roman"/>
          <w:i/>
          <w:iCs/>
          <w:sz w:val="20"/>
          <w:szCs w:val="20"/>
        </w:rPr>
        <w:t xml:space="preserve"> St Tammany Homestead</w:t>
      </w:r>
      <w:r w:rsidRPr="00F33763">
        <w:rPr>
          <w:rFonts w:ascii="Times New Roman" w:hAnsi="Times New Roman" w:cs="Times New Roman"/>
          <w:sz w:val="20"/>
          <w:szCs w:val="20"/>
        </w:rPr>
        <w:t>, 304 So.2d at 775).</w:t>
      </w:r>
    </w:p>
  </w:footnote>
  <w:footnote w:id="90">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w:t>
      </w:r>
      <w:r w:rsidRPr="00F33763">
        <w:rPr>
          <w:rFonts w:ascii="Times New Roman" w:hAnsi="Times New Roman" w:cs="Times New Roman"/>
          <w:i/>
          <w:iCs/>
          <w:sz w:val="20"/>
          <w:szCs w:val="20"/>
        </w:rPr>
        <w:t xml:space="preserve"> Dept. of Hwys. v. </w:t>
      </w:r>
      <w:proofErr w:type="spellStart"/>
      <w:r w:rsidRPr="00F33763">
        <w:rPr>
          <w:rFonts w:ascii="Times New Roman" w:hAnsi="Times New Roman" w:cs="Times New Roman"/>
          <w:i/>
          <w:iCs/>
          <w:sz w:val="20"/>
          <w:szCs w:val="20"/>
        </w:rPr>
        <w:t>Guste</w:t>
      </w:r>
      <w:proofErr w:type="spellEnd"/>
      <w:r w:rsidRPr="00F33763">
        <w:rPr>
          <w:rFonts w:ascii="Times New Roman" w:hAnsi="Times New Roman" w:cs="Times New Roman"/>
          <w:sz w:val="20"/>
          <w:szCs w:val="20"/>
        </w:rPr>
        <w:t>, 319 So.2d 468, n.1 (</w:t>
      </w:r>
      <w:proofErr w:type="spellStart"/>
      <w:r w:rsidRPr="00F33763">
        <w:rPr>
          <w:rFonts w:ascii="Times New Roman" w:hAnsi="Times New Roman" w:cs="Times New Roman"/>
          <w:sz w:val="20"/>
          <w:szCs w:val="20"/>
        </w:rPr>
        <w:t>La.App</w:t>
      </w:r>
      <w:proofErr w:type="spellEnd"/>
      <w:r w:rsidRPr="00F33763">
        <w:rPr>
          <w:rFonts w:ascii="Times New Roman" w:hAnsi="Times New Roman" w:cs="Times New Roman"/>
          <w:sz w:val="20"/>
          <w:szCs w:val="20"/>
        </w:rPr>
        <w:t>. 4th Cir. 1975)).</w:t>
      </w:r>
    </w:p>
  </w:footnote>
  <w:footnote w:id="9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F33763">
        <w:rPr>
          <w:rFonts w:ascii="Times New Roman" w:hAnsi="Times New Roman" w:cs="Times New Roman"/>
          <w:i/>
          <w:iCs/>
          <w:sz w:val="20"/>
          <w:szCs w:val="20"/>
        </w:rPr>
        <w:t xml:space="preserve">Dept. of Hwys. v. </w:t>
      </w:r>
      <w:proofErr w:type="spellStart"/>
      <w:r w:rsidRPr="00F33763">
        <w:rPr>
          <w:rFonts w:ascii="Times New Roman" w:hAnsi="Times New Roman" w:cs="Times New Roman"/>
          <w:i/>
          <w:iCs/>
          <w:sz w:val="20"/>
          <w:szCs w:val="20"/>
        </w:rPr>
        <w:t>DeRouen</w:t>
      </w:r>
      <w:proofErr w:type="spellEnd"/>
      <w:r w:rsidRPr="00F33763">
        <w:rPr>
          <w:rFonts w:ascii="Times New Roman" w:hAnsi="Times New Roman" w:cs="Times New Roman"/>
          <w:sz w:val="20"/>
          <w:szCs w:val="20"/>
        </w:rPr>
        <w:t>, 228 So.2d 659 (</w:t>
      </w:r>
      <w:proofErr w:type="spellStart"/>
      <w:r w:rsidRPr="00F33763">
        <w:rPr>
          <w:rFonts w:ascii="Times New Roman" w:hAnsi="Times New Roman" w:cs="Times New Roman"/>
          <w:sz w:val="20"/>
          <w:szCs w:val="20"/>
        </w:rPr>
        <w:t>La.App</w:t>
      </w:r>
      <w:proofErr w:type="spellEnd"/>
      <w:r w:rsidRPr="00F33763">
        <w:rPr>
          <w:rFonts w:ascii="Times New Roman" w:hAnsi="Times New Roman" w:cs="Times New Roman"/>
          <w:sz w:val="20"/>
          <w:szCs w:val="20"/>
        </w:rPr>
        <w:t>. 3rd Cir. 1969)).</w:t>
      </w:r>
    </w:p>
  </w:footnote>
  <w:footnote w:id="9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93">
    <w:p w:rsidR="0048673B" w:rsidRPr="00F33763" w:rsidRDefault="0048673B" w:rsidP="00446B31">
      <w:pPr>
        <w:widowControl/>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 xml:space="preserve">320.0 Acres, </w:t>
      </w:r>
      <w:proofErr w:type="gramStart"/>
      <w:r w:rsidRPr="00F33763">
        <w:rPr>
          <w:rFonts w:ascii="Times New Roman" w:hAnsi="Times New Roman" w:cs="Times New Roman"/>
          <w:sz w:val="20"/>
          <w:szCs w:val="20"/>
        </w:rPr>
        <w:t>605 F.2d at 819</w:t>
      </w:r>
      <w:proofErr w:type="gramEnd"/>
      <w:r w:rsidRPr="00F33763">
        <w:rPr>
          <w:rFonts w:ascii="Times New Roman" w:hAnsi="Times New Roman" w:cs="Times New Roman"/>
          <w:sz w:val="20"/>
          <w:szCs w:val="20"/>
        </w:rPr>
        <w:t xml:space="preserve">.  </w:t>
      </w:r>
    </w:p>
  </w:footnote>
  <w:footnote w:id="9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259 F.2d 41 (</w:t>
      </w:r>
      <w:proofErr w:type="gramStart"/>
      <w:r w:rsidRPr="00F33763">
        <w:rPr>
          <w:rFonts w:ascii="Times New Roman" w:hAnsi="Times New Roman" w:cs="Times New Roman"/>
          <w:sz w:val="20"/>
          <w:szCs w:val="20"/>
        </w:rPr>
        <w:t>2nd</w:t>
      </w:r>
      <w:proofErr w:type="gramEnd"/>
      <w:r w:rsidRPr="00F33763">
        <w:rPr>
          <w:rFonts w:ascii="Times New Roman" w:hAnsi="Times New Roman" w:cs="Times New Roman"/>
          <w:sz w:val="20"/>
          <w:szCs w:val="20"/>
        </w:rPr>
        <w:t xml:space="preserve"> Cir. 1958), </w:t>
      </w:r>
      <w:r w:rsidRPr="00F33763">
        <w:rPr>
          <w:rFonts w:ascii="Times New Roman" w:hAnsi="Times New Roman" w:cs="Times New Roman"/>
          <w:i/>
          <w:sz w:val="20"/>
          <w:szCs w:val="20"/>
        </w:rPr>
        <w:t xml:space="preserve">cert denied </w:t>
      </w:r>
      <w:r w:rsidRPr="00F33763">
        <w:rPr>
          <w:rStyle w:val="apple-style-span"/>
          <w:rFonts w:ascii="Times New Roman" w:hAnsi="Times New Roman" w:cs="Times New Roman"/>
          <w:color w:val="333333"/>
          <w:sz w:val="20"/>
          <w:szCs w:val="20"/>
        </w:rPr>
        <w:t xml:space="preserve">358 U.S. 921 (1958). </w:t>
      </w:r>
    </w:p>
  </w:footnote>
  <w:footnote w:id="9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45.</w:t>
      </w:r>
    </w:p>
  </w:footnote>
  <w:footnote w:id="9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 xml:space="preserve">Id. </w:t>
      </w:r>
    </w:p>
  </w:footnote>
  <w:footnote w:id="97">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w:t>
      </w:r>
      <w:r w:rsidRPr="00F33763">
        <w:rPr>
          <w:rStyle w:val="apple-converted-space"/>
          <w:rFonts w:ascii="Times New Roman" w:hAnsi="Times New Roman" w:cs="Times New Roman"/>
          <w:iCs/>
          <w:shd w:val="clear" w:color="auto" w:fill="FFFFFF"/>
        </w:rPr>
        <w:t>Id.</w:t>
      </w:r>
      <w:r w:rsidRPr="00F33763">
        <w:rPr>
          <w:rFonts w:ascii="Times New Roman" w:hAnsi="Times New Roman" w:cs="Times New Roman"/>
          <w:shd w:val="clear" w:color="auto" w:fill="FFFFFF"/>
        </w:rPr>
        <w:t xml:space="preserve"> </w:t>
      </w:r>
      <w:r w:rsidRPr="00F33763">
        <w:rPr>
          <w:rStyle w:val="apple-style-span"/>
          <w:rFonts w:ascii="Times New Roman" w:hAnsi="Times New Roman" w:cs="Times New Roman"/>
          <w:shd w:val="clear" w:color="auto" w:fill="FFFFFF"/>
        </w:rPr>
        <w:t>(quoting</w:t>
      </w:r>
      <w:r w:rsidRPr="00F33763">
        <w:rPr>
          <w:rStyle w:val="apple-converted-space"/>
          <w:rFonts w:ascii="Times New Roman" w:hAnsi="Times New Roman" w:cs="Times New Roman"/>
          <w:shd w:val="clear" w:color="auto" w:fill="FFFFFF"/>
        </w:rPr>
        <w:t> </w:t>
      </w:r>
      <w:r w:rsidRPr="00F33763">
        <w:rPr>
          <w:rFonts w:ascii="Times New Roman" w:hAnsi="Times New Roman" w:cs="Times New Roman"/>
          <w:i/>
          <w:iCs/>
          <w:shd w:val="clear" w:color="auto" w:fill="FFFFFF"/>
        </w:rPr>
        <w:t xml:space="preserve">Olson, </w:t>
      </w:r>
      <w:r w:rsidRPr="00F33763">
        <w:rPr>
          <w:rFonts w:ascii="Times New Roman" w:hAnsi="Times New Roman" w:cs="Times New Roman"/>
          <w:shd w:val="clear" w:color="auto" w:fill="FFFFFF"/>
        </w:rPr>
        <w:t xml:space="preserve">292 U.S. at 255). </w:t>
      </w:r>
    </w:p>
  </w:footnote>
  <w:footnote w:id="98">
    <w:p w:rsidR="0048673B" w:rsidRPr="00F33763" w:rsidRDefault="0048673B" w:rsidP="00446B31">
      <w:pPr>
        <w:shd w:val="clear" w:color="auto" w:fill="FFFFFF"/>
        <w:rPr>
          <w:rFonts w:ascii="Times New Roman" w:eastAsia="Times New Roman" w:hAnsi="Times New Roman" w:cs="Times New Roman"/>
          <w:color w:val="333333"/>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164 F. Supp. 942 (E.D.N.Y. 1958) </w:t>
      </w:r>
    </w:p>
  </w:footnote>
  <w:footnote w:id="9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Id. at 947 (citing </w:t>
      </w:r>
      <w:r w:rsidRPr="00F33763">
        <w:rPr>
          <w:rFonts w:ascii="Times New Roman" w:hAnsi="Times New Roman" w:cs="Times New Roman"/>
          <w:i/>
          <w:sz w:val="20"/>
          <w:szCs w:val="20"/>
        </w:rPr>
        <w:t>United States v. 50.8 acres,</w:t>
      </w:r>
      <w:r w:rsidRPr="00F33763">
        <w:rPr>
          <w:rFonts w:ascii="Times New Roman" w:hAnsi="Times New Roman" w:cs="Times New Roman"/>
          <w:sz w:val="20"/>
          <w:szCs w:val="20"/>
        </w:rPr>
        <w:t xml:space="preserve"> </w:t>
      </w:r>
      <w:r w:rsidRPr="00F33763">
        <w:rPr>
          <w:rStyle w:val="Hyperlink6"/>
          <w:rFonts w:ascii="Times New Roman" w:hAnsi="Times New Roman" w:cs="Times New Roman"/>
          <w:u w:val="none"/>
        </w:rPr>
        <w:t>149 F. Supp. 749 (E.D.N.Y. 1957)).</w:t>
      </w:r>
    </w:p>
  </w:footnote>
  <w:footnote w:id="10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Style w:val="apple-style-span"/>
          <w:rFonts w:ascii="Times New Roman" w:hAnsi="Times New Roman" w:cs="Times New Roman"/>
          <w:color w:val="333333"/>
          <w:shd w:val="clear" w:color="auto" w:fill="FFFFFF"/>
        </w:rPr>
        <w:t xml:space="preserve"> </w:t>
      </w:r>
      <w:proofErr w:type="gramStart"/>
      <w:r w:rsidRPr="00F33763">
        <w:rPr>
          <w:rStyle w:val="apple-style-span"/>
          <w:rFonts w:ascii="Times New Roman" w:hAnsi="Times New Roman" w:cs="Times New Roman"/>
          <w:color w:val="333333"/>
          <w:shd w:val="clear" w:color="auto" w:fill="FFFFFF"/>
        </w:rPr>
        <w:t>529</w:t>
      </w:r>
      <w:proofErr w:type="gramEnd"/>
      <w:r w:rsidRPr="00F33763">
        <w:rPr>
          <w:rStyle w:val="apple-style-span"/>
          <w:rFonts w:ascii="Times New Roman" w:hAnsi="Times New Roman" w:cs="Times New Roman"/>
          <w:color w:val="333333"/>
          <w:shd w:val="clear" w:color="auto" w:fill="FFFFFF"/>
        </w:rPr>
        <w:t xml:space="preserve"> F.2d 134 (2d. Cir. 1979).</w:t>
      </w:r>
    </w:p>
  </w:footnote>
  <w:footnote w:id="101">
    <w:p w:rsidR="0048673B" w:rsidRPr="00F33763" w:rsidRDefault="0048673B" w:rsidP="00446B31">
      <w:pPr>
        <w:shd w:val="clear" w:color="auto" w:fill="FFFFFF"/>
        <w:rPr>
          <w:rFonts w:ascii="Times New Roman" w:hAnsi="Times New Roman" w:cs="Times New Roman"/>
          <w:color w:val="333333"/>
          <w:sz w:val="20"/>
          <w:szCs w:val="20"/>
          <w:shd w:val="clear" w:color="auto" w:fill="FFFFFF"/>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vertAlign w:val="superscript"/>
        </w:rPr>
        <w:t xml:space="preserve"> </w:t>
      </w:r>
      <w:r w:rsidRPr="00F33763">
        <w:rPr>
          <w:rStyle w:val="apple-style-span"/>
          <w:rFonts w:ascii="Times New Roman" w:hAnsi="Times New Roman" w:cs="Times New Roman"/>
          <w:color w:val="333333"/>
          <w:sz w:val="20"/>
          <w:szCs w:val="20"/>
          <w:shd w:val="clear" w:color="auto" w:fill="FFFFFF"/>
        </w:rPr>
        <w:t xml:space="preserve">Id. at 136 (quoting Nichols, note </w:t>
      </w:r>
      <w:proofErr w:type="gramStart"/>
      <w:r w:rsidRPr="00F33763">
        <w:rPr>
          <w:rStyle w:val="apple-style-span"/>
          <w:rFonts w:ascii="Times New Roman" w:hAnsi="Times New Roman" w:cs="Times New Roman"/>
          <w:color w:val="333333"/>
          <w:sz w:val="20"/>
          <w:szCs w:val="20"/>
          <w:shd w:val="clear" w:color="auto" w:fill="FFFFFF"/>
        </w:rPr>
        <w:t>2</w:t>
      </w:r>
      <w:proofErr w:type="gramEnd"/>
      <w:r w:rsidRPr="00F33763">
        <w:rPr>
          <w:rStyle w:val="apple-style-span"/>
          <w:rFonts w:ascii="Times New Roman" w:hAnsi="Times New Roman" w:cs="Times New Roman"/>
          <w:color w:val="333333"/>
          <w:sz w:val="20"/>
          <w:szCs w:val="20"/>
          <w:shd w:val="clear" w:color="auto" w:fill="FFFFFF"/>
        </w:rPr>
        <w:t xml:space="preserve"> </w:t>
      </w:r>
      <w:r w:rsidRPr="00F33763">
        <w:rPr>
          <w:rStyle w:val="apple-style-span"/>
          <w:rFonts w:ascii="Times New Roman" w:hAnsi="Times New Roman" w:cs="Times New Roman"/>
          <w:i/>
          <w:color w:val="333333"/>
          <w:sz w:val="20"/>
          <w:szCs w:val="20"/>
          <w:shd w:val="clear" w:color="auto" w:fill="FFFFFF"/>
        </w:rPr>
        <w:t xml:space="preserve">supra, </w:t>
      </w:r>
      <w:r w:rsidRPr="00F33763">
        <w:rPr>
          <w:rStyle w:val="apple-style-span"/>
          <w:rFonts w:ascii="Times New Roman" w:hAnsi="Times New Roman" w:cs="Times New Roman"/>
          <w:color w:val="333333"/>
          <w:sz w:val="20"/>
          <w:szCs w:val="20"/>
          <w:shd w:val="clear" w:color="auto" w:fill="FFFFFF"/>
        </w:rPr>
        <w:t xml:space="preserve">§§12.322(1), 12-657). </w:t>
      </w:r>
    </w:p>
  </w:footnote>
  <w:footnote w:id="10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26</w:t>
      </w:r>
      <w:proofErr w:type="gramEnd"/>
      <w:r w:rsidRPr="00F33763">
        <w:rPr>
          <w:rFonts w:ascii="Times New Roman" w:hAnsi="Times New Roman" w:cs="Times New Roman"/>
          <w:sz w:val="20"/>
          <w:szCs w:val="20"/>
        </w:rPr>
        <w:t xml:space="preserve"> N.J. 113; 138 A.2d 833 (1958) (affirming </w:t>
      </w:r>
      <w:r w:rsidRPr="00F33763">
        <w:rPr>
          <w:rFonts w:ascii="Times New Roman" w:hAnsi="Times New Roman" w:cs="Times New Roman"/>
          <w:i/>
          <w:iCs/>
          <w:sz w:val="20"/>
          <w:szCs w:val="20"/>
        </w:rPr>
        <w:t xml:space="preserve">Hwy. Comm’nr v. Gorga, </w:t>
      </w:r>
      <w:r w:rsidRPr="00F33763">
        <w:rPr>
          <w:rFonts w:ascii="Times New Roman" w:hAnsi="Times New Roman" w:cs="Times New Roman"/>
          <w:sz w:val="20"/>
          <w:szCs w:val="20"/>
        </w:rPr>
        <w:t>45 N.J. Super. 417; 133 A.2d 349 (N.J. Super. Ct. App. Div. 1957)).</w:t>
      </w:r>
    </w:p>
  </w:footnote>
  <w:footnote w:id="10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 xml:space="preserve">Gorga, </w:t>
      </w:r>
      <w:r w:rsidRPr="00F33763">
        <w:rPr>
          <w:rFonts w:ascii="Times New Roman" w:hAnsi="Times New Roman" w:cs="Times New Roman"/>
          <w:sz w:val="20"/>
          <w:szCs w:val="20"/>
        </w:rPr>
        <w:t xml:space="preserve">45 N.J. Super. </w:t>
      </w:r>
      <w:proofErr w:type="gramStart"/>
      <w:r w:rsidRPr="00F33763">
        <w:rPr>
          <w:rFonts w:ascii="Times New Roman" w:hAnsi="Times New Roman" w:cs="Times New Roman"/>
          <w:sz w:val="20"/>
          <w:szCs w:val="20"/>
        </w:rPr>
        <w:t>at</w:t>
      </w:r>
      <w:proofErr w:type="gramEnd"/>
      <w:r w:rsidRPr="00F33763">
        <w:rPr>
          <w:rFonts w:ascii="Times New Roman" w:hAnsi="Times New Roman" w:cs="Times New Roman"/>
          <w:sz w:val="20"/>
          <w:szCs w:val="20"/>
        </w:rPr>
        <w:t xml:space="preserve"> 423-24.</w:t>
      </w:r>
    </w:p>
  </w:footnote>
  <w:footnote w:id="10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eastAsia="MS PMincho" w:hAnsi="Times New Roman" w:cs="Times New Roman"/>
          <w:sz w:val="20"/>
          <w:szCs w:val="20"/>
        </w:rPr>
        <w:t xml:space="preserve"> </w:t>
      </w:r>
      <w:r w:rsidRPr="00F33763">
        <w:rPr>
          <w:rFonts w:ascii="Times New Roman" w:eastAsia="MS PMincho" w:hAnsi="Times New Roman" w:cs="Times New Roman"/>
          <w:i/>
          <w:sz w:val="20"/>
          <w:szCs w:val="20"/>
        </w:rPr>
        <w:t>Gorga,</w:t>
      </w:r>
      <w:r w:rsidRPr="00F33763">
        <w:rPr>
          <w:rFonts w:ascii="Times New Roman" w:eastAsia="MS PMincho" w:hAnsi="Times New Roman" w:cs="Times New Roman"/>
          <w:sz w:val="20"/>
          <w:szCs w:val="20"/>
        </w:rPr>
        <w:t xml:space="preserve"> 26 N.J. at 116 (citing </w:t>
      </w:r>
      <w:r w:rsidRPr="00F33763">
        <w:rPr>
          <w:rStyle w:val="Hyperlink6"/>
          <w:rFonts w:ascii="Times New Roman" w:hAnsi="Times New Roman" w:cs="Times New Roman"/>
          <w:i/>
          <w:iCs/>
          <w:u w:val="none"/>
        </w:rPr>
        <w:t>United States v. 50.8 Acres of Land</w:t>
      </w:r>
      <w:r w:rsidRPr="00F33763">
        <w:rPr>
          <w:rStyle w:val="Hyperlink6"/>
          <w:rFonts w:ascii="Times New Roman" w:hAnsi="Times New Roman" w:cs="Times New Roman"/>
          <w:u w:val="none"/>
        </w:rPr>
        <w:t xml:space="preserve">, 149 </w:t>
      </w:r>
      <w:r w:rsidRPr="00F33763">
        <w:rPr>
          <w:rStyle w:val="Hyperlink6"/>
          <w:rFonts w:ascii="Times New Roman" w:hAnsi="Times New Roman" w:cs="Times New Roman"/>
          <w:iCs/>
          <w:u w:val="none"/>
        </w:rPr>
        <w:t>F. Supp</w:t>
      </w:r>
      <w:r w:rsidRPr="00F33763">
        <w:rPr>
          <w:rStyle w:val="Hyperlink6"/>
          <w:rFonts w:ascii="Times New Roman" w:hAnsi="Times New Roman" w:cs="Times New Roman"/>
          <w:i/>
          <w:iCs/>
          <w:u w:val="none"/>
        </w:rPr>
        <w:t>.</w:t>
      </w:r>
      <w:r w:rsidRPr="00F33763">
        <w:rPr>
          <w:rStyle w:val="Hyperlink6"/>
          <w:rFonts w:ascii="Times New Roman" w:hAnsi="Times New Roman" w:cs="Times New Roman"/>
          <w:u w:val="none"/>
        </w:rPr>
        <w:t xml:space="preserve"> 749, 752 (</w:t>
      </w:r>
      <w:r w:rsidRPr="00F33763">
        <w:rPr>
          <w:rStyle w:val="Hyperlink6"/>
          <w:rFonts w:ascii="Times New Roman" w:hAnsi="Times New Roman" w:cs="Times New Roman"/>
          <w:iCs/>
          <w:u w:val="none"/>
        </w:rPr>
        <w:t>E.D.N.Y.</w:t>
      </w:r>
      <w:r w:rsidRPr="00F33763">
        <w:rPr>
          <w:rStyle w:val="Hyperlink6"/>
          <w:rFonts w:ascii="Times New Roman" w:hAnsi="Times New Roman" w:cs="Times New Roman"/>
          <w:u w:val="none"/>
        </w:rPr>
        <w:t xml:space="preserve"> 1957);</w:t>
      </w:r>
      <w:r w:rsidRPr="00F33763">
        <w:rPr>
          <w:rFonts w:ascii="Times New Roman" w:eastAsia="MS PMincho" w:hAnsi="Times New Roman" w:cs="Times New Roman"/>
          <w:sz w:val="20"/>
          <w:szCs w:val="20"/>
        </w:rPr>
        <w:t xml:space="preserve"> </w:t>
      </w:r>
      <w:r w:rsidRPr="00F33763">
        <w:rPr>
          <w:rStyle w:val="Hyperlink6"/>
          <w:rFonts w:ascii="Times New Roman" w:hAnsi="Times New Roman" w:cs="Times New Roman"/>
          <w:i/>
          <w:iCs/>
          <w:u w:val="none"/>
        </w:rPr>
        <w:t>Bd. of Ed. of Claymont Special Sch. Dist. v. 13 Acres of Land</w:t>
      </w:r>
      <w:r w:rsidRPr="00F33763">
        <w:rPr>
          <w:rStyle w:val="Hyperlink6"/>
          <w:rFonts w:ascii="Times New Roman" w:hAnsi="Times New Roman" w:cs="Times New Roman"/>
          <w:u w:val="none"/>
        </w:rPr>
        <w:t xml:space="preserve">, 131 </w:t>
      </w:r>
      <w:r w:rsidRPr="00F33763">
        <w:rPr>
          <w:rStyle w:val="Hyperlink6"/>
          <w:rFonts w:ascii="Times New Roman" w:hAnsi="Times New Roman" w:cs="Times New Roman"/>
          <w:iCs/>
          <w:u w:val="none"/>
        </w:rPr>
        <w:t>A.</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 xml:space="preserve">d 180, 183 (Del. Super. Ct. 1957); </w:t>
      </w:r>
      <w:r w:rsidRPr="00F33763">
        <w:rPr>
          <w:rStyle w:val="Hyperlink6"/>
          <w:rFonts w:ascii="Times New Roman" w:hAnsi="Times New Roman" w:cs="Times New Roman"/>
          <w:i/>
          <w:iCs/>
          <w:u w:val="none"/>
        </w:rPr>
        <w:t xml:space="preserve">Roads </w:t>
      </w:r>
      <w:proofErr w:type="spellStart"/>
      <w:r w:rsidRPr="00F33763">
        <w:rPr>
          <w:rStyle w:val="Hyperlink6"/>
          <w:rFonts w:ascii="Times New Roman" w:hAnsi="Times New Roman" w:cs="Times New Roman"/>
          <w:i/>
          <w:iCs/>
          <w:u w:val="none"/>
        </w:rPr>
        <w:t>Comm’n</w:t>
      </w:r>
      <w:proofErr w:type="spellEnd"/>
      <w:r w:rsidRPr="00F33763">
        <w:rPr>
          <w:rStyle w:val="Hyperlink6"/>
          <w:rFonts w:ascii="Times New Roman" w:hAnsi="Times New Roman" w:cs="Times New Roman"/>
          <w:i/>
          <w:iCs/>
          <w:u w:val="none"/>
        </w:rPr>
        <w:t xml:space="preserve"> v. </w:t>
      </w:r>
      <w:proofErr w:type="spellStart"/>
      <w:r w:rsidRPr="00F33763">
        <w:rPr>
          <w:rStyle w:val="Hyperlink6"/>
          <w:rFonts w:ascii="Times New Roman" w:hAnsi="Times New Roman" w:cs="Times New Roman"/>
          <w:i/>
          <w:iCs/>
          <w:u w:val="none"/>
        </w:rPr>
        <w:t>Warriner</w:t>
      </w:r>
      <w:proofErr w:type="spellEnd"/>
      <w:r w:rsidRPr="00F33763">
        <w:rPr>
          <w:rStyle w:val="Hyperlink6"/>
          <w:rFonts w:ascii="Times New Roman" w:hAnsi="Times New Roman" w:cs="Times New Roman"/>
          <w:u w:val="none"/>
        </w:rPr>
        <w:t xml:space="preserve">, 211 </w:t>
      </w:r>
      <w:r w:rsidRPr="00F33763">
        <w:rPr>
          <w:rStyle w:val="Hyperlink6"/>
          <w:rFonts w:ascii="Times New Roman" w:hAnsi="Times New Roman" w:cs="Times New Roman"/>
          <w:iCs/>
          <w:u w:val="none"/>
        </w:rPr>
        <w:t>Md.</w:t>
      </w:r>
      <w:r w:rsidRPr="00F33763">
        <w:rPr>
          <w:rStyle w:val="Hyperlink6"/>
          <w:rFonts w:ascii="Times New Roman" w:hAnsi="Times New Roman" w:cs="Times New Roman"/>
          <w:u w:val="none"/>
        </w:rPr>
        <w:t xml:space="preserve"> 480, 128 </w:t>
      </w:r>
      <w:r w:rsidRPr="00F33763">
        <w:rPr>
          <w:rStyle w:val="Hyperlink6"/>
          <w:rFonts w:ascii="Times New Roman" w:hAnsi="Times New Roman" w:cs="Times New Roman"/>
          <w:iCs/>
          <w:u w:val="none"/>
        </w:rPr>
        <w:t>A.</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 xml:space="preserve">d 248, 250 (Md. Ct. App. 1957); </w:t>
      </w:r>
      <w:r w:rsidRPr="00F33763">
        <w:rPr>
          <w:rStyle w:val="Hyperlink6"/>
          <w:rFonts w:ascii="Times New Roman" w:hAnsi="Times New Roman" w:cs="Times New Roman"/>
          <w:i/>
          <w:iCs/>
          <w:u w:val="none"/>
        </w:rPr>
        <w:t xml:space="preserve">Hwy </w:t>
      </w:r>
      <w:proofErr w:type="spellStart"/>
      <w:r w:rsidRPr="00F33763">
        <w:rPr>
          <w:rStyle w:val="Hyperlink6"/>
          <w:rFonts w:ascii="Times New Roman" w:hAnsi="Times New Roman" w:cs="Times New Roman"/>
          <w:i/>
          <w:iCs/>
          <w:u w:val="none"/>
        </w:rPr>
        <w:t>Comm’n</w:t>
      </w:r>
      <w:proofErr w:type="spellEnd"/>
      <w:r w:rsidRPr="00F33763">
        <w:rPr>
          <w:rStyle w:val="Hyperlink6"/>
          <w:rFonts w:ascii="Times New Roman" w:hAnsi="Times New Roman" w:cs="Times New Roman"/>
          <w:i/>
          <w:iCs/>
          <w:u w:val="none"/>
        </w:rPr>
        <w:t xml:space="preserve"> v. Williams</w:t>
      </w:r>
      <w:r w:rsidRPr="00F33763">
        <w:rPr>
          <w:rStyle w:val="Hyperlink6"/>
          <w:rFonts w:ascii="Times New Roman" w:hAnsi="Times New Roman" w:cs="Times New Roman"/>
          <w:u w:val="none"/>
        </w:rPr>
        <w:t xml:space="preserve">, 289 </w:t>
      </w:r>
      <w:r w:rsidRPr="00F33763">
        <w:rPr>
          <w:rStyle w:val="Hyperlink6"/>
          <w:rFonts w:ascii="Times New Roman" w:hAnsi="Times New Roman" w:cs="Times New Roman"/>
          <w:iCs/>
          <w:u w:val="none"/>
        </w:rPr>
        <w:t>S.W.</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 xml:space="preserve">d 64, 67 (Mo. Sup. Ct. 1956); </w:t>
      </w:r>
      <w:r w:rsidRPr="00F33763">
        <w:rPr>
          <w:rStyle w:val="Hyperlink6"/>
          <w:rFonts w:ascii="Times New Roman" w:hAnsi="Times New Roman" w:cs="Times New Roman"/>
          <w:i/>
          <w:iCs/>
          <w:u w:val="none"/>
        </w:rPr>
        <w:t>City of Austin v. Cannizzo</w:t>
      </w:r>
      <w:r w:rsidRPr="00F33763">
        <w:rPr>
          <w:rStyle w:val="Hyperlink6"/>
          <w:rFonts w:ascii="Times New Roman" w:hAnsi="Times New Roman" w:cs="Times New Roman"/>
          <w:u w:val="none"/>
        </w:rPr>
        <w:t xml:space="preserve">, 153 </w:t>
      </w:r>
      <w:r w:rsidRPr="00F33763">
        <w:rPr>
          <w:rStyle w:val="Hyperlink6"/>
          <w:rFonts w:ascii="Times New Roman" w:hAnsi="Times New Roman" w:cs="Times New Roman"/>
          <w:iCs/>
          <w:u w:val="none"/>
        </w:rPr>
        <w:t>Tex.</w:t>
      </w:r>
      <w:r w:rsidRPr="00F33763">
        <w:rPr>
          <w:rStyle w:val="Hyperlink6"/>
          <w:rFonts w:ascii="Times New Roman" w:hAnsi="Times New Roman" w:cs="Times New Roman"/>
          <w:u w:val="none"/>
        </w:rPr>
        <w:t xml:space="preserve"> 324; 267 </w:t>
      </w:r>
      <w:r w:rsidRPr="00F33763">
        <w:rPr>
          <w:rStyle w:val="Hyperlink6"/>
          <w:rFonts w:ascii="Times New Roman" w:hAnsi="Times New Roman" w:cs="Times New Roman"/>
          <w:iCs/>
          <w:u w:val="none"/>
        </w:rPr>
        <w:t>S.W.</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d 808 (</w:t>
      </w:r>
      <w:proofErr w:type="spellStart"/>
      <w:r w:rsidRPr="00F33763">
        <w:rPr>
          <w:rFonts w:ascii="Times New Roman" w:eastAsia="MS PMincho" w:hAnsi="Times New Roman" w:cs="Times New Roman"/>
          <w:sz w:val="20"/>
          <w:szCs w:val="20"/>
        </w:rPr>
        <w:t>Tx</w:t>
      </w:r>
      <w:proofErr w:type="spellEnd"/>
      <w:r w:rsidRPr="00F33763">
        <w:rPr>
          <w:rFonts w:ascii="Times New Roman" w:eastAsia="MS PMincho" w:hAnsi="Times New Roman" w:cs="Times New Roman"/>
          <w:sz w:val="20"/>
          <w:szCs w:val="20"/>
        </w:rPr>
        <w:t>. Sup. Ct. 1954)</w:t>
      </w:r>
      <w:proofErr w:type="gramStart"/>
      <w:r w:rsidRPr="00F33763">
        <w:rPr>
          <w:rFonts w:ascii="Times New Roman" w:eastAsia="MS PMincho" w:hAnsi="Times New Roman" w:cs="Times New Roman"/>
          <w:sz w:val="20"/>
          <w:szCs w:val="20"/>
        </w:rPr>
        <w:t>;</w:t>
      </w:r>
      <w:proofErr w:type="gramEnd"/>
      <w:r w:rsidRPr="00F33763">
        <w:rPr>
          <w:rFonts w:ascii="Times New Roman" w:eastAsia="MS PMincho" w:hAnsi="Times New Roman" w:cs="Times New Roman"/>
          <w:sz w:val="20"/>
          <w:szCs w:val="20"/>
        </w:rPr>
        <w:t xml:space="preserve"> </w:t>
      </w:r>
      <w:r w:rsidRPr="00F33763">
        <w:rPr>
          <w:rStyle w:val="Hyperlink6"/>
          <w:rFonts w:ascii="Times New Roman" w:hAnsi="Times New Roman" w:cs="Times New Roman"/>
          <w:i/>
          <w:iCs/>
          <w:u w:val="none"/>
        </w:rPr>
        <w:t>Long Beach City High Sch. Dist. v. Stewart</w:t>
      </w:r>
      <w:r w:rsidRPr="00F33763">
        <w:rPr>
          <w:rStyle w:val="Hyperlink6"/>
          <w:rFonts w:ascii="Times New Roman" w:hAnsi="Times New Roman" w:cs="Times New Roman"/>
          <w:u w:val="none"/>
        </w:rPr>
        <w:t xml:space="preserve">, 30 </w:t>
      </w:r>
      <w:r w:rsidRPr="00F33763">
        <w:rPr>
          <w:rStyle w:val="Hyperlink6"/>
          <w:rFonts w:ascii="Times New Roman" w:hAnsi="Times New Roman" w:cs="Times New Roman"/>
          <w:iCs/>
          <w:u w:val="none"/>
        </w:rPr>
        <w:t>Cal.</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 xml:space="preserve">d 763, </w:t>
      </w:r>
      <w:r w:rsidRPr="00F33763">
        <w:rPr>
          <w:rStyle w:val="Hyperlink6"/>
          <w:rFonts w:ascii="Times New Roman" w:hAnsi="Times New Roman" w:cs="Times New Roman"/>
          <w:u w:val="none"/>
        </w:rPr>
        <w:t xml:space="preserve">185 </w:t>
      </w:r>
      <w:r w:rsidRPr="00F33763">
        <w:rPr>
          <w:rStyle w:val="Hyperlink6"/>
          <w:rFonts w:ascii="Times New Roman" w:hAnsi="Times New Roman" w:cs="Times New Roman"/>
          <w:iCs/>
          <w:u w:val="none"/>
        </w:rPr>
        <w:t>P.</w:t>
      </w:r>
      <w:r w:rsidRPr="00F33763">
        <w:rPr>
          <w:rStyle w:val="Hyperlink6"/>
          <w:rFonts w:ascii="Times New Roman" w:hAnsi="Times New Roman" w:cs="Times New Roman"/>
          <w:u w:val="none"/>
        </w:rPr>
        <w:t xml:space="preserve"> 2</w:t>
      </w:r>
      <w:r w:rsidRPr="00F33763">
        <w:rPr>
          <w:rFonts w:ascii="Times New Roman" w:eastAsia="MS PMincho" w:hAnsi="Times New Roman" w:cs="Times New Roman"/>
          <w:sz w:val="20"/>
          <w:szCs w:val="20"/>
        </w:rPr>
        <w:t xml:space="preserve">d 585 </w:t>
      </w:r>
      <w:r w:rsidRPr="00F33763">
        <w:rPr>
          <w:rStyle w:val="Hyperlink6"/>
          <w:rFonts w:ascii="Times New Roman" w:hAnsi="Times New Roman" w:cs="Times New Roman"/>
          <w:u w:val="none"/>
        </w:rPr>
        <w:t xml:space="preserve">(Cal. </w:t>
      </w:r>
      <w:r w:rsidRPr="00F33763">
        <w:rPr>
          <w:rStyle w:val="Hyperlink6"/>
          <w:rFonts w:ascii="Times New Roman" w:hAnsi="Times New Roman" w:cs="Times New Roman"/>
          <w:iCs/>
          <w:u w:val="none"/>
        </w:rPr>
        <w:t>Sup. Ct.</w:t>
      </w:r>
      <w:r w:rsidRPr="00F33763">
        <w:rPr>
          <w:rStyle w:val="Hyperlink6"/>
          <w:rFonts w:ascii="Times New Roman" w:hAnsi="Times New Roman" w:cs="Times New Roman"/>
          <w:u w:val="none"/>
        </w:rPr>
        <w:t xml:space="preserve"> 1947)).</w:t>
      </w:r>
      <w:r w:rsidRPr="00F33763">
        <w:rPr>
          <w:rFonts w:ascii="Times New Roman" w:eastAsia="MS PMincho" w:hAnsi="Times New Roman" w:cs="Times New Roman"/>
          <w:sz w:val="20"/>
          <w:szCs w:val="20"/>
        </w:rPr>
        <w:t xml:space="preserve"> </w:t>
      </w:r>
    </w:p>
  </w:footnote>
  <w:footnote w:id="10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117.</w:t>
      </w:r>
    </w:p>
  </w:footnote>
  <w:footnote w:id="10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117-18.</w:t>
      </w:r>
    </w:p>
  </w:footnote>
  <w:footnote w:id="10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 xml:space="preserve">Id. </w:t>
      </w:r>
    </w:p>
  </w:footnote>
  <w:footnote w:id="10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118 (emphasis added).</w:t>
      </w:r>
    </w:p>
  </w:footnote>
  <w:footnote w:id="109">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w:t>
      </w:r>
      <w:r w:rsidRPr="00F33763">
        <w:rPr>
          <w:rFonts w:ascii="Times New Roman" w:hAnsi="Times New Roman" w:cs="Times New Roman"/>
          <w:i/>
        </w:rPr>
        <w:t xml:space="preserve">New Jersey v. </w:t>
      </w:r>
      <w:proofErr w:type="spellStart"/>
      <w:r w:rsidRPr="00F33763">
        <w:rPr>
          <w:rFonts w:ascii="Times New Roman" w:hAnsi="Times New Roman" w:cs="Times New Roman"/>
          <w:i/>
        </w:rPr>
        <w:t>Caoili</w:t>
      </w:r>
      <w:proofErr w:type="spellEnd"/>
      <w:r w:rsidRPr="00F33763">
        <w:rPr>
          <w:rFonts w:ascii="Times New Roman" w:hAnsi="Times New Roman" w:cs="Times New Roman"/>
          <w:i/>
        </w:rPr>
        <w:t xml:space="preserve">, </w:t>
      </w:r>
      <w:r w:rsidRPr="00F33763">
        <w:rPr>
          <w:rFonts w:ascii="Times New Roman" w:hAnsi="Times New Roman" w:cs="Times New Roman"/>
        </w:rPr>
        <w:t xml:space="preserve">135 N.J. 252, 272-273; 639 A.2d 275 (1994) (quoting </w:t>
      </w:r>
      <w:r w:rsidRPr="00F33763">
        <w:rPr>
          <w:rStyle w:val="apple-style-span"/>
          <w:rFonts w:ascii="Times New Roman" w:hAnsi="Times New Roman" w:cs="Times New Roman"/>
          <w:color w:val="333333"/>
          <w:shd w:val="clear" w:color="auto" w:fill="FFFFFF"/>
        </w:rPr>
        <w:t xml:space="preserve">Nichols, note 2 </w:t>
      </w:r>
      <w:r w:rsidRPr="00F33763">
        <w:rPr>
          <w:rStyle w:val="apple-style-span"/>
          <w:rFonts w:ascii="Times New Roman" w:hAnsi="Times New Roman" w:cs="Times New Roman"/>
          <w:i/>
          <w:color w:val="333333"/>
          <w:shd w:val="clear" w:color="auto" w:fill="FFFFFF"/>
        </w:rPr>
        <w:t xml:space="preserve">supra, </w:t>
      </w:r>
      <w:r w:rsidRPr="00F33763">
        <w:rPr>
          <w:rStyle w:val="apple-style-span"/>
          <w:rFonts w:ascii="Times New Roman" w:hAnsi="Times New Roman" w:cs="Times New Roman"/>
          <w:color w:val="333333"/>
          <w:shd w:val="clear" w:color="auto" w:fill="FFFFFF"/>
        </w:rPr>
        <w:t xml:space="preserve">§ </w:t>
      </w:r>
      <w:proofErr w:type="gramStart"/>
      <w:r w:rsidRPr="00F33763">
        <w:rPr>
          <w:rStyle w:val="apple-style-span"/>
          <w:rFonts w:ascii="Times New Roman" w:hAnsi="Times New Roman" w:cs="Times New Roman"/>
          <w:color w:val="333333"/>
          <w:shd w:val="clear" w:color="auto" w:fill="FFFFFF"/>
        </w:rPr>
        <w:t>12C.03[</w:t>
      </w:r>
      <w:proofErr w:type="gramEnd"/>
      <w:r w:rsidRPr="00F33763">
        <w:rPr>
          <w:rStyle w:val="apple-style-span"/>
          <w:rFonts w:ascii="Times New Roman" w:hAnsi="Times New Roman" w:cs="Times New Roman"/>
          <w:color w:val="333333"/>
          <w:shd w:val="clear" w:color="auto" w:fill="FFFFFF"/>
        </w:rPr>
        <w:t xml:space="preserve">2]; citing </w:t>
      </w:r>
      <w:r w:rsidRPr="00F33763">
        <w:rPr>
          <w:rStyle w:val="apple-style-span"/>
          <w:rFonts w:ascii="Times New Roman" w:hAnsi="Times New Roman" w:cs="Times New Roman"/>
          <w:i/>
          <w:color w:val="333333"/>
          <w:shd w:val="clear" w:color="auto" w:fill="FFFFFF"/>
        </w:rPr>
        <w:t xml:space="preserve">Jones, </w:t>
      </w:r>
      <w:r w:rsidRPr="00F33763">
        <w:rPr>
          <w:rStyle w:val="apple-style-span"/>
          <w:rFonts w:ascii="Times New Roman" w:hAnsi="Times New Roman" w:cs="Times New Roman"/>
          <w:color w:val="333333"/>
          <w:shd w:val="clear" w:color="auto" w:fill="FFFFFF"/>
        </w:rPr>
        <w:t xml:space="preserve">45 A.D.2d at 927). </w:t>
      </w:r>
    </w:p>
  </w:footnote>
  <w:footnote w:id="110">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381</w:t>
      </w:r>
      <w:proofErr w:type="gramEnd"/>
      <w:r w:rsidRPr="00F33763">
        <w:rPr>
          <w:rFonts w:ascii="Times New Roman" w:hAnsi="Times New Roman" w:cs="Times New Roman"/>
          <w:sz w:val="20"/>
          <w:szCs w:val="20"/>
        </w:rPr>
        <w:t xml:space="preserve"> Mass. 135; 407 N.E.2d 1251 (Mass. 1980).</w:t>
      </w:r>
    </w:p>
  </w:footnote>
  <w:footnote w:id="11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136.</w:t>
      </w:r>
    </w:p>
  </w:footnote>
  <w:footnote w:id="11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11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136-37 (citing </w:t>
      </w:r>
      <w:r w:rsidRPr="00F33763">
        <w:rPr>
          <w:rStyle w:val="Hyperlink6"/>
          <w:rFonts w:ascii="Times New Roman" w:hAnsi="Times New Roman" w:cs="Times New Roman"/>
          <w:i/>
          <w:iCs/>
          <w:u w:val="none"/>
        </w:rPr>
        <w:t xml:space="preserve">Skyline Homes, Inc. </w:t>
      </w:r>
      <w:r w:rsidRPr="00F33763">
        <w:rPr>
          <w:rStyle w:val="Hyperlink6"/>
          <w:rFonts w:ascii="Times New Roman" w:hAnsi="Times New Roman" w:cs="Times New Roman"/>
          <w:u w:val="none"/>
        </w:rPr>
        <w:t>v.</w:t>
      </w:r>
      <w:r w:rsidRPr="00F33763">
        <w:rPr>
          <w:rStyle w:val="Hyperlink6"/>
          <w:rFonts w:ascii="Times New Roman" w:hAnsi="Times New Roman" w:cs="Times New Roman"/>
          <w:i/>
          <w:iCs/>
          <w:u w:val="none"/>
        </w:rPr>
        <w:t xml:space="preserve"> Commonwealth</w:t>
      </w:r>
      <w:r w:rsidRPr="00F33763">
        <w:rPr>
          <w:rStyle w:val="Hyperlink6"/>
          <w:rFonts w:ascii="Times New Roman" w:hAnsi="Times New Roman" w:cs="Times New Roman"/>
          <w:u w:val="none"/>
        </w:rPr>
        <w:t>, 362 Mass. 684, 687; 290 N.E.2d 160 (1972)</w:t>
      </w:r>
      <w:r w:rsidRPr="00F33763">
        <w:rPr>
          <w:rFonts w:ascii="Times New Roman" w:hAnsi="Times New Roman" w:cs="Times New Roman"/>
          <w:sz w:val="20"/>
          <w:szCs w:val="20"/>
        </w:rPr>
        <w:t xml:space="preserve">; </w:t>
      </w:r>
      <w:r w:rsidRPr="00F33763">
        <w:rPr>
          <w:rStyle w:val="Hyperlink6"/>
          <w:rFonts w:ascii="Times New Roman" w:hAnsi="Times New Roman" w:cs="Times New Roman"/>
          <w:i/>
          <w:iCs/>
          <w:u w:val="none"/>
        </w:rPr>
        <w:t xml:space="preserve">Colonial Acres, Inc. </w:t>
      </w:r>
      <w:r w:rsidRPr="00F33763">
        <w:rPr>
          <w:rStyle w:val="Hyperlink6"/>
          <w:rFonts w:ascii="Times New Roman" w:hAnsi="Times New Roman" w:cs="Times New Roman"/>
          <w:u w:val="none"/>
        </w:rPr>
        <w:t>v.</w:t>
      </w:r>
      <w:r w:rsidRPr="00F33763">
        <w:rPr>
          <w:rStyle w:val="Hyperlink6"/>
          <w:rFonts w:ascii="Times New Roman" w:hAnsi="Times New Roman" w:cs="Times New Roman"/>
          <w:i/>
          <w:iCs/>
          <w:u w:val="none"/>
        </w:rPr>
        <w:t xml:space="preserve"> North Reading</w:t>
      </w:r>
      <w:r w:rsidRPr="00F33763">
        <w:rPr>
          <w:rStyle w:val="Hyperlink6"/>
          <w:rFonts w:ascii="Times New Roman" w:hAnsi="Times New Roman" w:cs="Times New Roman"/>
          <w:u w:val="none"/>
        </w:rPr>
        <w:t>, 3 Mass. App. Ct. 384, 386-387; 331 N.E. 2d 549 (1975);</w:t>
      </w:r>
      <w:r w:rsidRPr="00F33763">
        <w:rPr>
          <w:rFonts w:ascii="Times New Roman" w:hAnsi="Times New Roman" w:cs="Times New Roman"/>
          <w:sz w:val="20"/>
          <w:szCs w:val="20"/>
        </w:rPr>
        <w:t xml:space="preserve"> Nichols, note </w:t>
      </w:r>
      <w:proofErr w:type="gramStart"/>
      <w:r w:rsidRPr="00F33763">
        <w:rPr>
          <w:rFonts w:ascii="Times New Roman" w:hAnsi="Times New Roman" w:cs="Times New Roman"/>
          <w:sz w:val="20"/>
          <w:szCs w:val="20"/>
        </w:rPr>
        <w:t>2</w:t>
      </w:r>
      <w:proofErr w:type="gramEnd"/>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supra,</w:t>
      </w:r>
      <w:r w:rsidRPr="00F33763">
        <w:rPr>
          <w:rFonts w:ascii="Times New Roman" w:hAnsi="Times New Roman" w:cs="Times New Roman"/>
          <w:sz w:val="20"/>
          <w:szCs w:val="20"/>
        </w:rPr>
        <w:t xml:space="preserve"> § 12.322[1]).</w:t>
      </w:r>
    </w:p>
  </w:footnote>
  <w:footnote w:id="11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137 (citing Nichols, note </w:t>
      </w:r>
      <w:proofErr w:type="gramStart"/>
      <w:r w:rsidRPr="00F33763">
        <w:rPr>
          <w:rFonts w:ascii="Times New Roman" w:hAnsi="Times New Roman" w:cs="Times New Roman"/>
          <w:sz w:val="20"/>
          <w:szCs w:val="20"/>
        </w:rPr>
        <w:t>2</w:t>
      </w:r>
      <w:proofErr w:type="gramEnd"/>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supra,</w:t>
      </w:r>
      <w:r w:rsidRPr="00F33763">
        <w:rPr>
          <w:rFonts w:ascii="Times New Roman" w:hAnsi="Times New Roman" w:cs="Times New Roman"/>
          <w:sz w:val="20"/>
          <w:szCs w:val="20"/>
        </w:rPr>
        <w:t xml:space="preserve"> § 12.322[2], n.11).</w:t>
      </w:r>
    </w:p>
  </w:footnote>
  <w:footnote w:id="11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F33763">
        <w:rPr>
          <w:rStyle w:val="Hyperlink6"/>
          <w:rFonts w:ascii="Times New Roman" w:hAnsi="Times New Roman" w:cs="Times New Roman"/>
          <w:i/>
          <w:iCs/>
          <w:u w:val="none"/>
        </w:rPr>
        <w:t xml:space="preserve">Cole </w:t>
      </w:r>
      <w:r w:rsidRPr="00F33763">
        <w:rPr>
          <w:rStyle w:val="Hyperlink6"/>
          <w:rFonts w:ascii="Times New Roman" w:hAnsi="Times New Roman" w:cs="Times New Roman"/>
          <w:u w:val="none"/>
        </w:rPr>
        <w:t>v.</w:t>
      </w:r>
      <w:r w:rsidRPr="00F33763">
        <w:rPr>
          <w:rStyle w:val="Hyperlink6"/>
          <w:rFonts w:ascii="Times New Roman" w:hAnsi="Times New Roman" w:cs="Times New Roman"/>
          <w:i/>
          <w:iCs/>
          <w:u w:val="none"/>
        </w:rPr>
        <w:t xml:space="preserve"> Boston Edison Co.</w:t>
      </w:r>
      <w:r w:rsidRPr="00F33763">
        <w:rPr>
          <w:rStyle w:val="Hyperlink6"/>
          <w:rFonts w:ascii="Times New Roman" w:hAnsi="Times New Roman" w:cs="Times New Roman"/>
          <w:u w:val="none"/>
        </w:rPr>
        <w:t>, 338 Mass. 661, 665-666; 157 N.E.2d 209 (1959)).</w:t>
      </w:r>
    </w:p>
  </w:footnote>
  <w:footnote w:id="11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i/>
          <w:iCs/>
          <w:sz w:val="20"/>
          <w:szCs w:val="20"/>
        </w:rPr>
        <w:t>.</w:t>
      </w:r>
      <w:r w:rsidRPr="00F33763">
        <w:rPr>
          <w:rFonts w:ascii="Times New Roman" w:hAnsi="Times New Roman" w:cs="Times New Roman"/>
          <w:sz w:val="20"/>
          <w:szCs w:val="20"/>
        </w:rPr>
        <w:t xml:space="preserve"> (citing Nichols, note </w:t>
      </w:r>
      <w:proofErr w:type="gramStart"/>
      <w:r w:rsidRPr="00F33763">
        <w:rPr>
          <w:rFonts w:ascii="Times New Roman" w:hAnsi="Times New Roman" w:cs="Times New Roman"/>
          <w:sz w:val="20"/>
          <w:szCs w:val="20"/>
        </w:rPr>
        <w:t>2</w:t>
      </w:r>
      <w:proofErr w:type="gramEnd"/>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supra</w:t>
      </w:r>
      <w:r w:rsidRPr="00F33763">
        <w:rPr>
          <w:rFonts w:ascii="Times New Roman" w:hAnsi="Times New Roman" w:cs="Times New Roman"/>
          <w:sz w:val="20"/>
          <w:szCs w:val="20"/>
        </w:rPr>
        <w:t>, § 12.322).</w:t>
      </w:r>
    </w:p>
  </w:footnote>
  <w:footnote w:id="11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138 (</w:t>
      </w:r>
      <w:r w:rsidRPr="00F33763">
        <w:rPr>
          <w:rFonts w:ascii="Times New Roman" w:hAnsi="Times New Roman" w:cs="Times New Roman"/>
          <w:iCs/>
          <w:sz w:val="20"/>
          <w:szCs w:val="20"/>
        </w:rPr>
        <w:t>citing</w:t>
      </w:r>
      <w:r w:rsidRPr="00F33763">
        <w:rPr>
          <w:rFonts w:ascii="Times New Roman" w:hAnsi="Times New Roman" w:cs="Times New Roman"/>
          <w:i/>
          <w:iCs/>
          <w:sz w:val="20"/>
          <w:szCs w:val="20"/>
        </w:rPr>
        <w:t xml:space="preserve"> </w:t>
      </w:r>
      <w:r w:rsidRPr="00F33763">
        <w:rPr>
          <w:rStyle w:val="Hyperlink6"/>
          <w:rFonts w:ascii="Times New Roman" w:hAnsi="Times New Roman" w:cs="Times New Roman"/>
          <w:i/>
          <w:iCs/>
          <w:u w:val="none"/>
        </w:rPr>
        <w:t>Gorga</w:t>
      </w:r>
      <w:r w:rsidRPr="00F33763">
        <w:rPr>
          <w:rStyle w:val="Hyperlink6"/>
          <w:rFonts w:ascii="Times New Roman" w:hAnsi="Times New Roman" w:cs="Times New Roman"/>
          <w:u w:val="none"/>
        </w:rPr>
        <w:t>, 26 N.J. at 118).</w:t>
      </w:r>
    </w:p>
  </w:footnote>
  <w:footnote w:id="11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11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195</w:t>
      </w:r>
      <w:proofErr w:type="gramEnd"/>
      <w:r w:rsidRPr="00F33763">
        <w:rPr>
          <w:rFonts w:ascii="Times New Roman" w:hAnsi="Times New Roman" w:cs="Times New Roman"/>
          <w:sz w:val="20"/>
          <w:szCs w:val="20"/>
        </w:rPr>
        <w:t xml:space="preserve"> Md. 314; 73 A.2d 493 (1950).</w:t>
      </w:r>
    </w:p>
  </w:footnote>
  <w:footnote w:id="120">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Id. at 322.</w:t>
      </w:r>
    </w:p>
  </w:footnote>
  <w:footnote w:id="121">
    <w:p w:rsidR="0048673B" w:rsidRPr="00F33763" w:rsidRDefault="0048673B" w:rsidP="009148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Id. (citing </w:t>
      </w:r>
      <w:r w:rsidRPr="00F33763">
        <w:rPr>
          <w:rFonts w:ascii="Times New Roman" w:hAnsi="Times New Roman" w:cs="Times New Roman"/>
          <w:i/>
          <w:iCs/>
          <w:sz w:val="20"/>
          <w:szCs w:val="20"/>
        </w:rPr>
        <w:t>Bonaparte v. M. &amp; C. C. of Baltimore</w:t>
      </w:r>
      <w:r w:rsidRPr="00F33763">
        <w:rPr>
          <w:rFonts w:ascii="Times New Roman" w:hAnsi="Times New Roman" w:cs="Times New Roman"/>
          <w:sz w:val="20"/>
          <w:szCs w:val="20"/>
        </w:rPr>
        <w:t xml:space="preserve"> 131 Md. 80, 83; 101 A. 594 (1917) (“ The availability of the property for a particular use, contributing to its market value, is not to be ignored merely because it has not in fact been applied to that use. The valuation for condemnation purposes must disregard the effect of the public project, for which the property is acquired, but must take into consideration all the uses to which it is capable of being applied at the time of the appropriation and which affect its marketability.)).</w:t>
      </w:r>
    </w:p>
  </w:footnote>
  <w:footnote w:id="12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357</w:t>
      </w:r>
      <w:proofErr w:type="gramEnd"/>
      <w:r w:rsidRPr="00F33763">
        <w:rPr>
          <w:rFonts w:ascii="Times New Roman" w:hAnsi="Times New Roman" w:cs="Times New Roman"/>
          <w:sz w:val="20"/>
          <w:szCs w:val="20"/>
        </w:rPr>
        <w:t xml:space="preserve"> NYS2d 554; 45 A.D.2d 927 (N.Y. App. Div. 4th Dept. 1974).</w:t>
      </w:r>
    </w:p>
  </w:footnote>
  <w:footnote w:id="12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554.</w:t>
      </w:r>
    </w:p>
  </w:footnote>
  <w:footnote w:id="12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proofErr w:type="spellStart"/>
      <w:r w:rsidRPr="00F33763">
        <w:rPr>
          <w:rStyle w:val="Hyperlink6"/>
          <w:rFonts w:ascii="Times New Roman" w:hAnsi="Times New Roman" w:cs="Times New Roman"/>
          <w:i/>
          <w:iCs/>
          <w:u w:val="none"/>
        </w:rPr>
        <w:t>Mastroieni</w:t>
      </w:r>
      <w:proofErr w:type="spellEnd"/>
      <w:r w:rsidRPr="00F33763">
        <w:rPr>
          <w:rStyle w:val="Hyperlink6"/>
          <w:rFonts w:ascii="Times New Roman" w:hAnsi="Times New Roman" w:cs="Times New Roman"/>
          <w:i/>
          <w:iCs/>
          <w:u w:val="none"/>
        </w:rPr>
        <w:t xml:space="preserve"> </w:t>
      </w:r>
      <w:r w:rsidRPr="00F33763">
        <w:rPr>
          <w:rStyle w:val="Hyperlink6"/>
          <w:rFonts w:ascii="Times New Roman" w:hAnsi="Times New Roman" w:cs="Times New Roman"/>
          <w:u w:val="none"/>
        </w:rPr>
        <w:t>v.</w:t>
      </w:r>
      <w:r w:rsidRPr="00F33763">
        <w:rPr>
          <w:rStyle w:val="Hyperlink6"/>
          <w:rFonts w:ascii="Times New Roman" w:hAnsi="Times New Roman" w:cs="Times New Roman"/>
          <w:i/>
          <w:iCs/>
          <w:u w:val="none"/>
        </w:rPr>
        <w:t xml:space="preserve"> State of New York</w:t>
      </w:r>
      <w:r w:rsidRPr="00F33763">
        <w:rPr>
          <w:rStyle w:val="Hyperlink6"/>
          <w:rFonts w:ascii="Times New Roman" w:hAnsi="Times New Roman" w:cs="Times New Roman"/>
          <w:u w:val="none"/>
        </w:rPr>
        <w:t xml:space="preserve">, </w:t>
      </w:r>
      <w:r w:rsidRPr="00F33763">
        <w:rPr>
          <w:rFonts w:ascii="Times New Roman" w:hAnsi="Times New Roman" w:cs="Times New Roman"/>
          <w:sz w:val="20"/>
          <w:szCs w:val="20"/>
        </w:rPr>
        <w:t xml:space="preserve">266 NYS2d 178; </w:t>
      </w:r>
      <w:r w:rsidRPr="00F33763">
        <w:rPr>
          <w:rStyle w:val="Hyperlink6"/>
          <w:rFonts w:ascii="Times New Roman" w:hAnsi="Times New Roman" w:cs="Times New Roman"/>
          <w:u w:val="none"/>
        </w:rPr>
        <w:t>25 A.D.2d 463 (N.Y. App. Div. 3d Dept. 1966).</w:t>
      </w:r>
    </w:p>
  </w:footnote>
  <w:footnote w:id="12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153</w:t>
      </w:r>
      <w:proofErr w:type="gramEnd"/>
      <w:r w:rsidRPr="00F33763">
        <w:rPr>
          <w:rFonts w:ascii="Times New Roman" w:hAnsi="Times New Roman" w:cs="Times New Roman"/>
          <w:sz w:val="20"/>
          <w:szCs w:val="20"/>
        </w:rPr>
        <w:t xml:space="preserve"> Tex. 324; 267 S.W.2d 808 (1954).</w:t>
      </w:r>
    </w:p>
  </w:footnote>
  <w:footnote w:id="12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332.</w:t>
      </w:r>
    </w:p>
  </w:footnote>
  <w:footnote w:id="12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332-33 (citing 29 C.J.S. Eminent Domain, § 159, 1023).</w:t>
      </w:r>
    </w:p>
  </w:footnote>
  <w:footnote w:id="12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333.</w:t>
      </w:r>
    </w:p>
  </w:footnote>
  <w:footnote w:id="129">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334.</w:t>
      </w:r>
    </w:p>
  </w:footnote>
  <w:footnote w:id="130">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131">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(emphasis original).</w:t>
      </w:r>
    </w:p>
  </w:footnote>
  <w:footnote w:id="132">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488</w:t>
      </w:r>
      <w:proofErr w:type="gramEnd"/>
      <w:r w:rsidRPr="00F33763">
        <w:rPr>
          <w:rFonts w:ascii="Times New Roman" w:hAnsi="Times New Roman" w:cs="Times New Roman"/>
          <w:sz w:val="20"/>
          <w:szCs w:val="20"/>
        </w:rPr>
        <w:t xml:space="preserve"> S.W.2d 135 (Tex. Civ. App. 8th Dist. 1972).</w:t>
      </w:r>
    </w:p>
  </w:footnote>
  <w:footnote w:id="133">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 at</w:t>
      </w:r>
      <w:r w:rsidRPr="00F33763">
        <w:rPr>
          <w:rFonts w:ascii="Times New Roman" w:hAnsi="Times New Roman" w:cs="Times New Roman"/>
          <w:sz w:val="20"/>
          <w:szCs w:val="20"/>
        </w:rPr>
        <w:t xml:space="preserve"> 137.</w:t>
      </w:r>
    </w:p>
  </w:footnote>
  <w:footnote w:id="134">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13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137 (citing </w:t>
      </w:r>
      <w:r w:rsidRPr="00F33763">
        <w:rPr>
          <w:rStyle w:val="Hyperlink6"/>
          <w:rFonts w:ascii="Times New Roman" w:hAnsi="Times New Roman" w:cs="Times New Roman"/>
          <w:i/>
          <w:u w:val="none"/>
        </w:rPr>
        <w:t>City of Austin v. Cannizzo,</w:t>
      </w:r>
      <w:r w:rsidR="00476D8C" w:rsidRPr="00F33763">
        <w:rPr>
          <w:rStyle w:val="Hyperlink6"/>
          <w:rFonts w:ascii="Times New Roman" w:hAnsi="Times New Roman" w:cs="Times New Roman"/>
          <w:u w:val="none"/>
        </w:rPr>
        <w:t xml:space="preserve"> 153 Tex. 324;</w:t>
      </w:r>
      <w:r w:rsidRPr="00F33763">
        <w:rPr>
          <w:rStyle w:val="Hyperlink6"/>
          <w:rFonts w:ascii="Times New Roman" w:hAnsi="Times New Roman" w:cs="Times New Roman"/>
          <w:u w:val="none"/>
        </w:rPr>
        <w:t xml:space="preserve"> 267 S.W.2d 808 (1954);</w:t>
      </w:r>
      <w:r w:rsidRPr="00F33763">
        <w:rPr>
          <w:rFonts w:ascii="Times New Roman" w:hAnsi="Times New Roman" w:cs="Times New Roman"/>
          <w:sz w:val="20"/>
          <w:szCs w:val="20"/>
        </w:rPr>
        <w:t xml:space="preserve"> </w:t>
      </w:r>
      <w:r w:rsidR="00476D8C" w:rsidRPr="00F33763">
        <w:rPr>
          <w:rStyle w:val="Hyperlink6"/>
          <w:rFonts w:ascii="Times New Roman" w:hAnsi="Times New Roman" w:cs="Times New Roman"/>
          <w:i/>
          <w:u w:val="none"/>
        </w:rPr>
        <w:t>State</w:t>
      </w:r>
      <w:r w:rsidRPr="00F33763">
        <w:rPr>
          <w:rStyle w:val="Hyperlink6"/>
          <w:rFonts w:ascii="Times New Roman" w:hAnsi="Times New Roman" w:cs="Times New Roman"/>
          <w:i/>
          <w:u w:val="none"/>
        </w:rPr>
        <w:t xml:space="preserve"> v. Rankin</w:t>
      </w:r>
      <w:r w:rsidRPr="00F33763">
        <w:rPr>
          <w:rStyle w:val="Hyperlink6"/>
          <w:rFonts w:ascii="Times New Roman" w:hAnsi="Times New Roman" w:cs="Times New Roman"/>
          <w:u w:val="none"/>
        </w:rPr>
        <w:t>, 445 S.W.2d 581</w:t>
      </w:r>
      <w:r w:rsidRPr="00F33763">
        <w:rPr>
          <w:rFonts w:ascii="Times New Roman" w:hAnsi="Times New Roman" w:cs="Times New Roman"/>
          <w:sz w:val="20"/>
          <w:szCs w:val="20"/>
        </w:rPr>
        <w:t xml:space="preserve"> (</w:t>
      </w:r>
      <w:proofErr w:type="spellStart"/>
      <w:r w:rsidRPr="00F33763">
        <w:rPr>
          <w:rFonts w:ascii="Times New Roman" w:hAnsi="Times New Roman" w:cs="Times New Roman"/>
          <w:sz w:val="20"/>
          <w:szCs w:val="20"/>
        </w:rPr>
        <w:t>Tex.Civ.App</w:t>
      </w:r>
      <w:proofErr w:type="spellEnd"/>
      <w:r w:rsidRPr="00F33763">
        <w:rPr>
          <w:rFonts w:ascii="Times New Roman" w:hAnsi="Times New Roman" w:cs="Times New Roman"/>
          <w:sz w:val="20"/>
          <w:szCs w:val="20"/>
        </w:rPr>
        <w:t>.</w:t>
      </w:r>
      <w:r w:rsidR="00476D8C" w:rsidRPr="00F33763">
        <w:rPr>
          <w:rFonts w:ascii="Times New Roman" w:hAnsi="Times New Roman" w:cs="Times New Roman"/>
          <w:sz w:val="20"/>
          <w:szCs w:val="20"/>
        </w:rPr>
        <w:t xml:space="preserve"> 13</w:t>
      </w:r>
      <w:r w:rsidR="00476D8C" w:rsidRPr="00F33763">
        <w:rPr>
          <w:rFonts w:ascii="Times New Roman" w:hAnsi="Times New Roman" w:cs="Times New Roman"/>
          <w:sz w:val="20"/>
          <w:szCs w:val="20"/>
          <w:vertAlign w:val="superscript"/>
        </w:rPr>
        <w:t>th</w:t>
      </w:r>
      <w:r w:rsidR="00476D8C" w:rsidRPr="00F33763">
        <w:rPr>
          <w:rFonts w:ascii="Times New Roman" w:hAnsi="Times New Roman" w:cs="Times New Roman"/>
          <w:sz w:val="20"/>
          <w:szCs w:val="20"/>
        </w:rPr>
        <w:t xml:space="preserve"> Dist. 1969</w:t>
      </w:r>
      <w:r w:rsidRPr="00F33763">
        <w:rPr>
          <w:rFonts w:ascii="Times New Roman" w:hAnsi="Times New Roman" w:cs="Times New Roman"/>
          <w:sz w:val="20"/>
          <w:szCs w:val="20"/>
        </w:rPr>
        <w:t>)).</w:t>
      </w:r>
    </w:p>
  </w:footnote>
  <w:footnote w:id="13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00476D8C" w:rsidRPr="00F33763">
        <w:rPr>
          <w:rFonts w:ascii="Times New Roman" w:hAnsi="Times New Roman" w:cs="Times New Roman"/>
          <w:sz w:val="20"/>
          <w:szCs w:val="20"/>
        </w:rPr>
        <w:t xml:space="preserve">Nichols, note </w:t>
      </w:r>
      <w:proofErr w:type="gramStart"/>
      <w:r w:rsidR="00476D8C" w:rsidRPr="00F33763">
        <w:rPr>
          <w:rFonts w:ascii="Times New Roman" w:hAnsi="Times New Roman" w:cs="Times New Roman"/>
          <w:sz w:val="20"/>
          <w:szCs w:val="20"/>
        </w:rPr>
        <w:t>2</w:t>
      </w:r>
      <w:proofErr w:type="gramEnd"/>
      <w:r w:rsidR="00476D8C" w:rsidRPr="00F33763">
        <w:rPr>
          <w:rFonts w:ascii="Times New Roman" w:hAnsi="Times New Roman" w:cs="Times New Roman"/>
          <w:sz w:val="20"/>
          <w:szCs w:val="20"/>
        </w:rPr>
        <w:t xml:space="preserve"> </w:t>
      </w:r>
      <w:r w:rsidR="00476D8C" w:rsidRPr="00F33763">
        <w:rPr>
          <w:rFonts w:ascii="Times New Roman" w:hAnsi="Times New Roman" w:cs="Times New Roman"/>
          <w:i/>
          <w:sz w:val="20"/>
          <w:szCs w:val="20"/>
        </w:rPr>
        <w:t xml:space="preserve">supra, </w:t>
      </w:r>
      <w:r w:rsidR="00476D8C" w:rsidRPr="00F33763">
        <w:rPr>
          <w:rFonts w:ascii="Times New Roman" w:hAnsi="Times New Roman" w:cs="Times New Roman"/>
          <w:sz w:val="20"/>
          <w:szCs w:val="20"/>
        </w:rPr>
        <w:t>§12.322(2)) (emphasis added).</w:t>
      </w:r>
    </w:p>
  </w:footnote>
  <w:footnote w:id="13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w:t>
      </w:r>
      <w:r w:rsidR="00476D8C" w:rsidRPr="00F33763">
        <w:rPr>
          <w:rFonts w:ascii="Times New Roman" w:hAnsi="Times New Roman" w:cs="Times New Roman"/>
          <w:sz w:val="20"/>
          <w:szCs w:val="20"/>
        </w:rPr>
        <w:t xml:space="preserve">ng </w:t>
      </w:r>
      <w:r w:rsidR="00476D8C" w:rsidRPr="00F33763">
        <w:rPr>
          <w:rStyle w:val="Hyperlink6"/>
          <w:rFonts w:ascii="Times New Roman" w:hAnsi="Times New Roman" w:cs="Times New Roman"/>
          <w:i/>
          <w:u w:val="none"/>
        </w:rPr>
        <w:t xml:space="preserve">City of Tyler v. </w:t>
      </w:r>
      <w:proofErr w:type="spellStart"/>
      <w:r w:rsidR="00476D8C" w:rsidRPr="00F33763">
        <w:rPr>
          <w:rStyle w:val="Hyperlink6"/>
          <w:rFonts w:ascii="Times New Roman" w:hAnsi="Times New Roman" w:cs="Times New Roman"/>
          <w:i/>
          <w:u w:val="none"/>
        </w:rPr>
        <w:t>Ginn</w:t>
      </w:r>
      <w:proofErr w:type="spellEnd"/>
      <w:r w:rsidRPr="00F33763">
        <w:rPr>
          <w:rStyle w:val="Hyperlink6"/>
          <w:rFonts w:ascii="Times New Roman" w:hAnsi="Times New Roman" w:cs="Times New Roman"/>
          <w:i/>
          <w:u w:val="none"/>
        </w:rPr>
        <w:t>,</w:t>
      </w:r>
      <w:r w:rsidRPr="00F33763">
        <w:rPr>
          <w:rStyle w:val="Hyperlink6"/>
          <w:rFonts w:ascii="Times New Roman" w:hAnsi="Times New Roman" w:cs="Times New Roman"/>
          <w:u w:val="none"/>
        </w:rPr>
        <w:t xml:space="preserve"> 225 S.W.2d 997</w:t>
      </w:r>
      <w:r w:rsidRPr="00F33763">
        <w:rPr>
          <w:rFonts w:ascii="Times New Roman" w:hAnsi="Times New Roman" w:cs="Times New Roman"/>
          <w:sz w:val="20"/>
          <w:szCs w:val="20"/>
        </w:rPr>
        <w:t xml:space="preserve"> (</w:t>
      </w:r>
      <w:proofErr w:type="spellStart"/>
      <w:r w:rsidRPr="00F33763">
        <w:rPr>
          <w:rFonts w:ascii="Times New Roman" w:hAnsi="Times New Roman" w:cs="Times New Roman"/>
          <w:sz w:val="20"/>
          <w:szCs w:val="20"/>
        </w:rPr>
        <w:t>Tex.Civ.App</w:t>
      </w:r>
      <w:proofErr w:type="spellEnd"/>
      <w:r w:rsidRPr="00F33763">
        <w:rPr>
          <w:rFonts w:ascii="Times New Roman" w:hAnsi="Times New Roman" w:cs="Times New Roman"/>
          <w:sz w:val="20"/>
          <w:szCs w:val="20"/>
        </w:rPr>
        <w:t xml:space="preserve">. </w:t>
      </w:r>
      <w:r w:rsidR="00476D8C" w:rsidRPr="00F33763">
        <w:rPr>
          <w:rFonts w:ascii="Times New Roman" w:hAnsi="Times New Roman" w:cs="Times New Roman"/>
          <w:sz w:val="20"/>
          <w:szCs w:val="20"/>
        </w:rPr>
        <w:t>1949)</w:t>
      </w:r>
      <w:r w:rsidRPr="00F33763">
        <w:rPr>
          <w:rFonts w:ascii="Times New Roman" w:hAnsi="Times New Roman" w:cs="Times New Roman"/>
          <w:sz w:val="20"/>
          <w:szCs w:val="20"/>
        </w:rPr>
        <w:t xml:space="preserve">, </w:t>
      </w:r>
      <w:r w:rsidR="00476D8C" w:rsidRPr="00F33763">
        <w:rPr>
          <w:rFonts w:ascii="Times New Roman" w:hAnsi="Times New Roman" w:cs="Times New Roman"/>
          <w:i/>
          <w:sz w:val="20"/>
          <w:szCs w:val="20"/>
        </w:rPr>
        <w:t>cert. denied,</w:t>
      </w:r>
      <w:r w:rsidRPr="00F33763">
        <w:rPr>
          <w:rFonts w:ascii="Times New Roman" w:hAnsi="Times New Roman" w:cs="Times New Roman"/>
          <w:sz w:val="20"/>
          <w:szCs w:val="20"/>
        </w:rPr>
        <w:t xml:space="preserve"> </w:t>
      </w:r>
      <w:r w:rsidR="00476D8C" w:rsidRPr="00F33763">
        <w:rPr>
          <w:rStyle w:val="Hyperlink6"/>
          <w:rFonts w:ascii="Times New Roman" w:hAnsi="Times New Roman" w:cs="Times New Roman"/>
          <w:u w:val="none"/>
        </w:rPr>
        <w:t xml:space="preserve">148 Tex. 604; </w:t>
      </w:r>
      <w:r w:rsidRPr="00F33763">
        <w:rPr>
          <w:rStyle w:val="Hyperlink6"/>
          <w:rFonts w:ascii="Times New Roman" w:hAnsi="Times New Roman" w:cs="Times New Roman"/>
          <w:u w:val="none"/>
        </w:rPr>
        <w:t>227 S.W.2d 1022</w:t>
      </w:r>
      <w:r w:rsidR="00476D8C" w:rsidRPr="00F33763">
        <w:rPr>
          <w:rStyle w:val="Hyperlink6"/>
          <w:rFonts w:ascii="Times New Roman" w:hAnsi="Times New Roman" w:cs="Times New Roman"/>
          <w:u w:val="none"/>
        </w:rPr>
        <w:t xml:space="preserve"> (1949</w:t>
      </w:r>
      <w:r w:rsidRPr="00F33763">
        <w:rPr>
          <w:rStyle w:val="Hyperlink6"/>
          <w:rFonts w:ascii="Times New Roman" w:hAnsi="Times New Roman" w:cs="Times New Roman"/>
          <w:u w:val="none"/>
        </w:rPr>
        <w:t>);</w:t>
      </w:r>
      <w:r w:rsidRPr="00F33763">
        <w:rPr>
          <w:rFonts w:ascii="Times New Roman" w:hAnsi="Times New Roman" w:cs="Times New Roman"/>
          <w:sz w:val="20"/>
          <w:szCs w:val="20"/>
        </w:rPr>
        <w:t xml:space="preserve"> Rayburn, </w:t>
      </w:r>
      <w:r w:rsidR="00476D8C" w:rsidRPr="00F33763">
        <w:rPr>
          <w:rFonts w:ascii="Times New Roman" w:hAnsi="Times New Roman" w:cs="Times New Roman"/>
          <w:sz w:val="20"/>
          <w:szCs w:val="20"/>
        </w:rPr>
        <w:t>Texas Law of Condemnation, §141)) (emphasis added).</w:t>
      </w:r>
    </w:p>
  </w:footnote>
  <w:footnote w:id="13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166</w:t>
      </w:r>
      <w:proofErr w:type="gramEnd"/>
      <w:r w:rsidRPr="00F33763">
        <w:rPr>
          <w:rFonts w:ascii="Times New Roman" w:hAnsi="Times New Roman" w:cs="Times New Roman"/>
          <w:sz w:val="20"/>
          <w:szCs w:val="20"/>
        </w:rPr>
        <w:t xml:space="preserve"> N.W.2d 839 (Iowa 1969).</w:t>
      </w:r>
    </w:p>
  </w:footnote>
  <w:footnote w:id="13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841 (citing </w:t>
      </w:r>
      <w:r w:rsidRPr="00F33763">
        <w:rPr>
          <w:rFonts w:ascii="Times New Roman" w:hAnsi="Times New Roman" w:cs="Times New Roman"/>
          <w:i/>
          <w:sz w:val="20"/>
          <w:szCs w:val="20"/>
        </w:rPr>
        <w:t>Mohr v. H</w:t>
      </w:r>
      <w:r w:rsidR="00406F36" w:rsidRPr="00F33763">
        <w:rPr>
          <w:rFonts w:ascii="Times New Roman" w:hAnsi="Times New Roman" w:cs="Times New Roman"/>
          <w:i/>
          <w:sz w:val="20"/>
          <w:szCs w:val="20"/>
        </w:rPr>
        <w:t xml:space="preserve">wy. </w:t>
      </w:r>
      <w:proofErr w:type="spellStart"/>
      <w:r w:rsidR="00406F36" w:rsidRPr="00F33763">
        <w:rPr>
          <w:rFonts w:ascii="Times New Roman" w:hAnsi="Times New Roman" w:cs="Times New Roman"/>
          <w:i/>
          <w:sz w:val="20"/>
          <w:szCs w:val="20"/>
        </w:rPr>
        <w:t>Comm’n</w:t>
      </w:r>
      <w:proofErr w:type="spellEnd"/>
      <w:r w:rsidR="00406F36" w:rsidRPr="00F33763">
        <w:rPr>
          <w:rFonts w:ascii="Times New Roman" w:hAnsi="Times New Roman" w:cs="Times New Roman"/>
          <w:i/>
          <w:sz w:val="20"/>
          <w:szCs w:val="20"/>
        </w:rPr>
        <w:t>.</w:t>
      </w:r>
      <w:r w:rsidR="00406F36" w:rsidRPr="00F33763">
        <w:rPr>
          <w:rFonts w:ascii="Times New Roman" w:hAnsi="Times New Roman" w:cs="Times New Roman"/>
          <w:sz w:val="20"/>
          <w:szCs w:val="20"/>
        </w:rPr>
        <w:t xml:space="preserve">, 255 Iowa 711, 720; </w:t>
      </w:r>
      <w:r w:rsidRPr="00F33763">
        <w:rPr>
          <w:rFonts w:ascii="Times New Roman" w:hAnsi="Times New Roman" w:cs="Times New Roman"/>
          <w:sz w:val="20"/>
          <w:szCs w:val="20"/>
        </w:rPr>
        <w:t xml:space="preserve">124 N.W.2d </w:t>
      </w:r>
      <w:r w:rsidR="00406F36" w:rsidRPr="00F33763">
        <w:rPr>
          <w:rFonts w:ascii="Times New Roman" w:hAnsi="Times New Roman" w:cs="Times New Roman"/>
          <w:sz w:val="20"/>
          <w:szCs w:val="20"/>
        </w:rPr>
        <w:t xml:space="preserve">(1963)) </w:t>
      </w:r>
      <w:r w:rsidR="00406F36" w:rsidRPr="00F33763">
        <w:rPr>
          <w:rFonts w:ascii="Times New Roman" w:hAnsi="Times New Roman" w:cs="Times New Roman"/>
          <w:sz w:val="20"/>
          <w:szCs w:val="20"/>
        </w:rPr>
        <w:t>(emphasis in original)</w:t>
      </w:r>
      <w:r w:rsidR="00406F36" w:rsidRPr="00F33763">
        <w:rPr>
          <w:rFonts w:ascii="Times New Roman" w:hAnsi="Times New Roman" w:cs="Times New Roman"/>
          <w:sz w:val="20"/>
          <w:szCs w:val="20"/>
        </w:rPr>
        <w:t>.</w:t>
      </w:r>
    </w:p>
  </w:footnote>
  <w:footnote w:id="140">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842-43.</w:t>
      </w:r>
    </w:p>
  </w:footnote>
  <w:footnote w:id="14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844.</w:t>
      </w:r>
    </w:p>
  </w:footnote>
  <w:footnote w:id="14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86 N.J. Super. 565; 207 A.2d 552 (N.J. Super. Ct. App. Div. 1965).</w:t>
      </w:r>
    </w:p>
  </w:footnote>
  <w:footnote w:id="14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576 (citing</w:t>
      </w:r>
      <w:r w:rsidR="00D425DF" w:rsidRPr="00F33763">
        <w:rPr>
          <w:rStyle w:val="Hyperlink6"/>
          <w:rFonts w:ascii="Times New Roman" w:hAnsi="Times New Roman" w:cs="Times New Roman"/>
          <w:i/>
          <w:iCs/>
          <w:u w:val="none"/>
        </w:rPr>
        <w:t xml:space="preserve"> </w:t>
      </w:r>
      <w:r w:rsidRPr="00F33763">
        <w:rPr>
          <w:rStyle w:val="Hyperlink6"/>
          <w:rFonts w:ascii="Times New Roman" w:hAnsi="Times New Roman" w:cs="Times New Roman"/>
          <w:i/>
          <w:iCs/>
          <w:u w:val="none"/>
        </w:rPr>
        <w:t xml:space="preserve">Gorga, </w:t>
      </w:r>
      <w:r w:rsidR="00D425DF" w:rsidRPr="00F33763">
        <w:rPr>
          <w:rFonts w:ascii="Times New Roman" w:hAnsi="Times New Roman" w:cs="Times New Roman"/>
          <w:sz w:val="20"/>
          <w:szCs w:val="20"/>
        </w:rPr>
        <w:t xml:space="preserve">26 N.J.at </w:t>
      </w:r>
      <w:r w:rsidRPr="00F33763">
        <w:rPr>
          <w:rStyle w:val="Hyperlink6"/>
          <w:rFonts w:ascii="Times New Roman" w:hAnsi="Times New Roman" w:cs="Times New Roman"/>
          <w:u w:val="none"/>
        </w:rPr>
        <w:t>117).</w:t>
      </w:r>
    </w:p>
  </w:footnote>
  <w:footnote w:id="14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584.</w:t>
      </w:r>
    </w:p>
  </w:footnote>
  <w:footnote w:id="145">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584 (citing </w:t>
      </w:r>
      <w:r w:rsidRPr="00F33763">
        <w:rPr>
          <w:rStyle w:val="Hyperlink6"/>
          <w:rFonts w:ascii="Times New Roman" w:hAnsi="Times New Roman" w:cs="Times New Roman"/>
          <w:i/>
          <w:iCs/>
          <w:u w:val="none"/>
        </w:rPr>
        <w:t>Paradise v. Great Eastern Stages, Inc.</w:t>
      </w:r>
      <w:r w:rsidRPr="00F33763">
        <w:rPr>
          <w:rStyle w:val="Hyperlink6"/>
          <w:rFonts w:ascii="Times New Roman" w:hAnsi="Times New Roman" w:cs="Times New Roman"/>
          <w:u w:val="none"/>
        </w:rPr>
        <w:t xml:space="preserve">, 114 </w:t>
      </w:r>
      <w:r w:rsidRPr="00F33763">
        <w:rPr>
          <w:rStyle w:val="Hyperlink6"/>
          <w:rFonts w:ascii="Times New Roman" w:hAnsi="Times New Roman" w:cs="Times New Roman"/>
          <w:iCs/>
          <w:u w:val="none"/>
        </w:rPr>
        <w:t>N.J.L.</w:t>
      </w:r>
      <w:r w:rsidRPr="00F33763">
        <w:rPr>
          <w:rStyle w:val="Hyperlink6"/>
          <w:rFonts w:ascii="Times New Roman" w:hAnsi="Times New Roman" w:cs="Times New Roman"/>
          <w:u w:val="none"/>
        </w:rPr>
        <w:t xml:space="preserve"> 365, 367-68</w:t>
      </w:r>
      <w:r w:rsidRPr="00F33763">
        <w:rPr>
          <w:rFonts w:ascii="Times New Roman" w:hAnsi="Times New Roman" w:cs="Times New Roman"/>
          <w:sz w:val="20"/>
          <w:szCs w:val="20"/>
        </w:rPr>
        <w:t xml:space="preserve"> (1934); </w:t>
      </w:r>
      <w:r w:rsidRPr="00F33763">
        <w:rPr>
          <w:rStyle w:val="Hyperlink6"/>
          <w:rFonts w:ascii="Times New Roman" w:hAnsi="Times New Roman" w:cs="Times New Roman"/>
          <w:i/>
          <w:iCs/>
          <w:u w:val="none"/>
        </w:rPr>
        <w:t>Hodgson v. Applegate, supra</w:t>
      </w:r>
      <w:r w:rsidRPr="00F33763">
        <w:rPr>
          <w:rStyle w:val="Hyperlink6"/>
          <w:rFonts w:ascii="Times New Roman" w:hAnsi="Times New Roman" w:cs="Times New Roman"/>
          <w:u w:val="none"/>
        </w:rPr>
        <w:t xml:space="preserve">, 31 </w:t>
      </w:r>
      <w:r w:rsidRPr="00F33763">
        <w:rPr>
          <w:rStyle w:val="Hyperlink6"/>
          <w:rFonts w:ascii="Times New Roman" w:hAnsi="Times New Roman" w:cs="Times New Roman"/>
          <w:iCs/>
          <w:u w:val="none"/>
        </w:rPr>
        <w:t>N.J.</w:t>
      </w:r>
      <w:r w:rsidR="005B5184" w:rsidRPr="00F33763">
        <w:rPr>
          <w:rStyle w:val="Hyperlink6"/>
          <w:rFonts w:ascii="Times New Roman" w:hAnsi="Times New Roman" w:cs="Times New Roman"/>
          <w:iCs/>
          <w:u w:val="none"/>
        </w:rPr>
        <w:t xml:space="preserve"> </w:t>
      </w:r>
      <w:r w:rsidRPr="00F33763">
        <w:rPr>
          <w:rStyle w:val="Hyperlink6"/>
          <w:rFonts w:ascii="Times New Roman" w:hAnsi="Times New Roman" w:cs="Times New Roman"/>
          <w:iCs/>
          <w:u w:val="none"/>
        </w:rPr>
        <w:t>29</w:t>
      </w:r>
      <w:r w:rsidRPr="00F33763">
        <w:rPr>
          <w:rStyle w:val="Hyperlink6"/>
          <w:rFonts w:ascii="Times New Roman" w:hAnsi="Times New Roman" w:cs="Times New Roman"/>
          <w:u w:val="none"/>
        </w:rPr>
        <w:t>, 43 (App. Div. 1959)).</w:t>
      </w:r>
    </w:p>
  </w:footnote>
  <w:footnote w:id="146">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iCs/>
          <w:sz w:val="20"/>
          <w:szCs w:val="20"/>
        </w:rPr>
      </w:pPr>
      <w:r w:rsidRPr="00F33763">
        <w:rPr>
          <w:rStyle w:val="FootnoteReference"/>
          <w:rFonts w:ascii="Times New Roman" w:hAnsi="Times New Roman" w:cs="Times New Roman"/>
          <w:i/>
          <w:iCs/>
          <w:sz w:val="20"/>
          <w:szCs w:val="20"/>
          <w:vertAlign w:val="superscript"/>
        </w:rPr>
        <w:footnoteRef/>
      </w:r>
      <w:r w:rsidRPr="00F33763">
        <w:rPr>
          <w:rFonts w:ascii="Times New Roman" w:hAnsi="Times New Roman" w:cs="Times New Roman"/>
          <w:i/>
          <w:iCs/>
          <w:sz w:val="20"/>
          <w:szCs w:val="20"/>
        </w:rPr>
        <w:t xml:space="preserve"> </w:t>
      </w:r>
      <w:proofErr w:type="gramStart"/>
      <w:r w:rsidRPr="00F33763">
        <w:rPr>
          <w:rFonts w:ascii="Times New Roman" w:hAnsi="Times New Roman" w:cs="Times New Roman"/>
          <w:iCs/>
          <w:sz w:val="20"/>
          <w:szCs w:val="20"/>
        </w:rPr>
        <w:t>134</w:t>
      </w:r>
      <w:proofErr w:type="gramEnd"/>
      <w:r w:rsidRPr="00F33763">
        <w:rPr>
          <w:rFonts w:ascii="Times New Roman" w:hAnsi="Times New Roman" w:cs="Times New Roman"/>
          <w:iCs/>
          <w:sz w:val="20"/>
          <w:szCs w:val="20"/>
        </w:rPr>
        <w:t xml:space="preserve"> N.J. Super. 282; 340 A.2d 663 (N.J. App. Div. 1975).</w:t>
      </w:r>
    </w:p>
  </w:footnote>
  <w:footnote w:id="147">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285.</w:t>
      </w:r>
    </w:p>
  </w:footnote>
  <w:footnote w:id="148">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005B5184"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F33763">
        <w:rPr>
          <w:rStyle w:val="Hyperlink6"/>
          <w:rFonts w:ascii="Times New Roman" w:hAnsi="Times New Roman" w:cs="Times New Roman"/>
          <w:i/>
          <w:iCs/>
          <w:u w:val="none"/>
        </w:rPr>
        <w:t>Gorga</w:t>
      </w:r>
      <w:r w:rsidRPr="00F33763">
        <w:rPr>
          <w:rStyle w:val="Hyperlink6"/>
          <w:rFonts w:ascii="Times New Roman" w:hAnsi="Times New Roman" w:cs="Times New Roman"/>
          <w:u w:val="none"/>
        </w:rPr>
        <w:t xml:space="preserve">, 26 </w:t>
      </w:r>
      <w:r w:rsidRPr="00F33763">
        <w:rPr>
          <w:rStyle w:val="Hyperlink6"/>
          <w:rFonts w:ascii="Times New Roman" w:hAnsi="Times New Roman" w:cs="Times New Roman"/>
          <w:iCs/>
          <w:u w:val="none"/>
        </w:rPr>
        <w:t>N.J.</w:t>
      </w:r>
      <w:r w:rsidRPr="00F33763">
        <w:rPr>
          <w:rStyle w:val="Hyperlink6"/>
          <w:rFonts w:ascii="Times New Roman" w:hAnsi="Times New Roman" w:cs="Times New Roman"/>
          <w:u w:val="none"/>
        </w:rPr>
        <w:t xml:space="preserve"> </w:t>
      </w:r>
      <w:r w:rsidR="005B5184" w:rsidRPr="00F33763">
        <w:rPr>
          <w:rStyle w:val="Hyperlink6"/>
          <w:rFonts w:ascii="Times New Roman" w:hAnsi="Times New Roman" w:cs="Times New Roman"/>
          <w:u w:val="none"/>
        </w:rPr>
        <w:t xml:space="preserve">at </w:t>
      </w:r>
      <w:r w:rsidRPr="00F33763">
        <w:rPr>
          <w:rStyle w:val="Hyperlink6"/>
          <w:rFonts w:ascii="Times New Roman" w:hAnsi="Times New Roman" w:cs="Times New Roman"/>
          <w:u w:val="none"/>
        </w:rPr>
        <w:t>113).</w:t>
      </w:r>
    </w:p>
  </w:footnote>
  <w:footnote w:id="149">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285-86</w:t>
      </w:r>
    </w:p>
  </w:footnote>
  <w:footnote w:id="150">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286.</w:t>
      </w:r>
    </w:p>
  </w:footnote>
  <w:footnote w:id="15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00F33763" w:rsidRPr="00F33763">
        <w:rPr>
          <w:rFonts w:ascii="Times New Roman" w:hAnsi="Times New Roman" w:cs="Times New Roman"/>
          <w:sz w:val="20"/>
          <w:szCs w:val="20"/>
        </w:rPr>
        <w:t>346</w:t>
      </w:r>
      <w:proofErr w:type="gramEnd"/>
      <w:r w:rsidR="00F33763" w:rsidRPr="00F33763">
        <w:rPr>
          <w:rFonts w:ascii="Times New Roman" w:hAnsi="Times New Roman" w:cs="Times New Roman"/>
          <w:sz w:val="20"/>
          <w:szCs w:val="20"/>
        </w:rPr>
        <w:t xml:space="preserve"> N.Y.S.2d 493; 42 A.D.2d 807</w:t>
      </w:r>
      <w:r w:rsidRPr="00F33763">
        <w:rPr>
          <w:rFonts w:ascii="Times New Roman" w:hAnsi="Times New Roman" w:cs="Times New Roman"/>
          <w:sz w:val="20"/>
          <w:szCs w:val="20"/>
        </w:rPr>
        <w:t xml:space="preserve"> </w:t>
      </w:r>
      <w:r w:rsidR="00F33763" w:rsidRPr="00F33763">
        <w:rPr>
          <w:rFonts w:ascii="Times New Roman" w:hAnsi="Times New Roman" w:cs="Times New Roman"/>
          <w:sz w:val="20"/>
          <w:szCs w:val="20"/>
        </w:rPr>
        <w:t>(N.Y. App.</w:t>
      </w:r>
      <w:r w:rsidRPr="00F33763">
        <w:rPr>
          <w:rFonts w:ascii="Times New Roman" w:hAnsi="Times New Roman" w:cs="Times New Roman"/>
          <w:sz w:val="20"/>
          <w:szCs w:val="20"/>
        </w:rPr>
        <w:t xml:space="preserve"> 3d Dept. 1973).</w:t>
      </w:r>
    </w:p>
  </w:footnote>
  <w:footnote w:id="15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494.</w:t>
      </w:r>
    </w:p>
  </w:footnote>
  <w:footnote w:id="15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F33763">
        <w:rPr>
          <w:rStyle w:val="Hyperlink6"/>
          <w:rFonts w:ascii="Times New Roman" w:hAnsi="Times New Roman" w:cs="Times New Roman"/>
          <w:i/>
          <w:iCs/>
          <w:u w:val="none"/>
        </w:rPr>
        <w:t xml:space="preserve">Comstock </w:t>
      </w:r>
      <w:r w:rsidRPr="00F33763">
        <w:rPr>
          <w:rStyle w:val="Hyperlink6"/>
          <w:rFonts w:ascii="Times New Roman" w:hAnsi="Times New Roman" w:cs="Times New Roman"/>
          <w:i/>
          <w:u w:val="none"/>
        </w:rPr>
        <w:t>v.</w:t>
      </w:r>
      <w:r w:rsidRPr="00F33763">
        <w:rPr>
          <w:rStyle w:val="Hyperlink6"/>
          <w:rFonts w:ascii="Times New Roman" w:hAnsi="Times New Roman" w:cs="Times New Roman"/>
          <w:i/>
          <w:iCs/>
          <w:u w:val="none"/>
        </w:rPr>
        <w:t xml:space="preserve"> State of New York</w:t>
      </w:r>
      <w:r w:rsidRPr="00F33763">
        <w:rPr>
          <w:rStyle w:val="Hyperlink6"/>
          <w:rFonts w:ascii="Times New Roman" w:hAnsi="Times New Roman" w:cs="Times New Roman"/>
          <w:u w:val="none"/>
        </w:rPr>
        <w:t xml:space="preserve">, </w:t>
      </w:r>
      <w:r w:rsidR="00F33763" w:rsidRPr="00F33763">
        <w:rPr>
          <w:rStyle w:val="apple-style-span"/>
          <w:rFonts w:ascii="Times New Roman" w:hAnsi="Times New Roman" w:cs="Times New Roman"/>
          <w:color w:val="333333"/>
          <w:sz w:val="20"/>
          <w:szCs w:val="20"/>
          <w:shd w:val="clear" w:color="auto" w:fill="FFFFFF"/>
        </w:rPr>
        <w:t>331 N.Y.S.2d 908</w:t>
      </w:r>
      <w:r w:rsidR="00F33763" w:rsidRPr="00F33763">
        <w:rPr>
          <w:rStyle w:val="apple-style-span"/>
          <w:rFonts w:ascii="Times New Roman" w:hAnsi="Times New Roman" w:cs="Times New Roman"/>
          <w:color w:val="333333"/>
          <w:sz w:val="20"/>
          <w:szCs w:val="20"/>
          <w:shd w:val="clear" w:color="auto" w:fill="FFFFFF"/>
        </w:rPr>
        <w:t xml:space="preserve">; </w:t>
      </w:r>
      <w:r w:rsidRPr="00F33763">
        <w:rPr>
          <w:rStyle w:val="Hyperlink6"/>
          <w:rFonts w:ascii="Times New Roman" w:hAnsi="Times New Roman" w:cs="Times New Roman"/>
          <w:u w:val="none"/>
        </w:rPr>
        <w:t>39 A D 2d 790 (N.Y. App., 3d Dept.</w:t>
      </w:r>
      <w:r w:rsidR="00F33763" w:rsidRPr="00F33763">
        <w:rPr>
          <w:rStyle w:val="Hyperlink6"/>
          <w:rFonts w:ascii="Times New Roman" w:hAnsi="Times New Roman" w:cs="Times New Roman"/>
          <w:u w:val="none"/>
        </w:rPr>
        <w:t xml:space="preserve"> 1972</w:t>
      </w:r>
      <w:r w:rsidRPr="00F33763">
        <w:rPr>
          <w:rStyle w:val="Hyperlink6"/>
          <w:rFonts w:ascii="Times New Roman" w:hAnsi="Times New Roman" w:cs="Times New Roman"/>
          <w:u w:val="none"/>
        </w:rPr>
        <w:t>);</w:t>
      </w:r>
      <w:r w:rsidRPr="00F33763">
        <w:rPr>
          <w:rFonts w:ascii="Times New Roman" w:hAnsi="Times New Roman" w:cs="Times New Roman"/>
          <w:sz w:val="20"/>
          <w:szCs w:val="20"/>
        </w:rPr>
        <w:t xml:space="preserve"> </w:t>
      </w:r>
      <w:proofErr w:type="spellStart"/>
      <w:r w:rsidRPr="00F33763">
        <w:rPr>
          <w:rStyle w:val="Hyperlink6"/>
          <w:rFonts w:ascii="Times New Roman" w:hAnsi="Times New Roman" w:cs="Times New Roman"/>
          <w:i/>
          <w:iCs/>
          <w:u w:val="none"/>
        </w:rPr>
        <w:t>Masten</w:t>
      </w:r>
      <w:proofErr w:type="spellEnd"/>
      <w:r w:rsidRPr="00F33763">
        <w:rPr>
          <w:rStyle w:val="Hyperlink6"/>
          <w:rFonts w:ascii="Times New Roman" w:hAnsi="Times New Roman" w:cs="Times New Roman"/>
          <w:i/>
          <w:iCs/>
          <w:u w:val="none"/>
        </w:rPr>
        <w:t xml:space="preserve"> </w:t>
      </w:r>
      <w:r w:rsidRPr="00F33763">
        <w:rPr>
          <w:rStyle w:val="Hyperlink6"/>
          <w:rFonts w:ascii="Times New Roman" w:hAnsi="Times New Roman" w:cs="Times New Roman"/>
          <w:i/>
          <w:u w:val="none"/>
        </w:rPr>
        <w:t>v.</w:t>
      </w:r>
      <w:r w:rsidRPr="00F33763">
        <w:rPr>
          <w:rStyle w:val="Hyperlink6"/>
          <w:rFonts w:ascii="Times New Roman" w:hAnsi="Times New Roman" w:cs="Times New Roman"/>
          <w:i/>
          <w:iCs/>
          <w:u w:val="none"/>
        </w:rPr>
        <w:t xml:space="preserve"> State of New York</w:t>
      </w:r>
      <w:r w:rsidRPr="00F33763">
        <w:rPr>
          <w:rStyle w:val="Hyperlink6"/>
          <w:rFonts w:ascii="Times New Roman" w:hAnsi="Times New Roman" w:cs="Times New Roman"/>
          <w:u w:val="none"/>
        </w:rPr>
        <w:t xml:space="preserve">, </w:t>
      </w:r>
      <w:r w:rsidR="00F33763" w:rsidRPr="00F33763">
        <w:rPr>
          <w:rStyle w:val="apple-style-span"/>
          <w:rFonts w:ascii="Times New Roman" w:hAnsi="Times New Roman" w:cs="Times New Roman"/>
          <w:color w:val="333333"/>
          <w:sz w:val="20"/>
          <w:szCs w:val="20"/>
          <w:shd w:val="clear" w:color="auto" w:fill="FFFFFF"/>
        </w:rPr>
        <w:t>206 N.Y.S.2d 672</w:t>
      </w:r>
      <w:r w:rsidR="00F33763" w:rsidRPr="00F33763">
        <w:rPr>
          <w:rStyle w:val="apple-style-span"/>
          <w:rFonts w:ascii="Times New Roman" w:hAnsi="Times New Roman" w:cs="Times New Roman"/>
          <w:color w:val="333333"/>
          <w:sz w:val="20"/>
          <w:szCs w:val="20"/>
          <w:shd w:val="clear" w:color="auto" w:fill="FFFFFF"/>
        </w:rPr>
        <w:t xml:space="preserve">; </w:t>
      </w:r>
      <w:r w:rsidRPr="00F33763">
        <w:rPr>
          <w:rStyle w:val="Hyperlink6"/>
          <w:rFonts w:ascii="Times New Roman" w:hAnsi="Times New Roman" w:cs="Times New Roman"/>
          <w:u w:val="none"/>
        </w:rPr>
        <w:t xml:space="preserve">11 A D 2d 370 (N.Y. App., </w:t>
      </w:r>
      <w:proofErr w:type="gramStart"/>
      <w:r w:rsidRPr="00F33763">
        <w:rPr>
          <w:rStyle w:val="Hyperlink6"/>
          <w:rFonts w:ascii="Times New Roman" w:hAnsi="Times New Roman" w:cs="Times New Roman"/>
          <w:u w:val="none"/>
        </w:rPr>
        <w:t>3d</w:t>
      </w:r>
      <w:proofErr w:type="gramEnd"/>
      <w:r w:rsidRPr="00F33763">
        <w:rPr>
          <w:rStyle w:val="Hyperlink6"/>
          <w:rFonts w:ascii="Times New Roman" w:hAnsi="Times New Roman" w:cs="Times New Roman"/>
          <w:u w:val="none"/>
        </w:rPr>
        <w:t xml:space="preserve"> Dept.</w:t>
      </w:r>
      <w:r w:rsidR="00F33763" w:rsidRPr="00F33763">
        <w:rPr>
          <w:rStyle w:val="Hyperlink6"/>
          <w:rFonts w:ascii="Times New Roman" w:hAnsi="Times New Roman" w:cs="Times New Roman"/>
          <w:u w:val="none"/>
        </w:rPr>
        <w:t xml:space="preserve"> 196)). </w:t>
      </w:r>
    </w:p>
  </w:footnote>
  <w:footnote w:id="15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p>
  </w:footnote>
  <w:footnote w:id="15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iCs/>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w:t>
      </w:r>
      <w:proofErr w:type="gramStart"/>
      <w:r w:rsidRPr="00F33763">
        <w:rPr>
          <w:rFonts w:ascii="Times New Roman" w:hAnsi="Times New Roman" w:cs="Times New Roman"/>
          <w:iCs/>
          <w:sz w:val="20"/>
          <w:szCs w:val="20"/>
        </w:rPr>
        <w:t>34</w:t>
      </w:r>
      <w:proofErr w:type="gramEnd"/>
      <w:r w:rsidRPr="00F33763">
        <w:rPr>
          <w:rFonts w:ascii="Times New Roman" w:hAnsi="Times New Roman" w:cs="Times New Roman"/>
          <w:iCs/>
          <w:sz w:val="20"/>
          <w:szCs w:val="20"/>
        </w:rPr>
        <w:t xml:space="preserve"> Ohio App. 2d 32;</w:t>
      </w:r>
      <w:r w:rsidR="00F33763">
        <w:rPr>
          <w:rFonts w:ascii="Times New Roman" w:hAnsi="Times New Roman" w:cs="Times New Roman"/>
          <w:iCs/>
          <w:sz w:val="20"/>
          <w:szCs w:val="20"/>
        </w:rPr>
        <w:t xml:space="preserve"> 295 N.E.2d 429 (Ohio. Ct. App.</w:t>
      </w:r>
      <w:r w:rsidRPr="00F33763">
        <w:rPr>
          <w:rFonts w:ascii="Times New Roman" w:hAnsi="Times New Roman" w:cs="Times New Roman"/>
          <w:iCs/>
          <w:sz w:val="20"/>
          <w:szCs w:val="20"/>
        </w:rPr>
        <w:t xml:space="preserve"> 8th Dist. 1973).</w:t>
      </w:r>
    </w:p>
  </w:footnote>
  <w:footnote w:id="15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431.</w:t>
      </w:r>
    </w:p>
  </w:footnote>
  <w:footnote w:id="15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340</w:t>
      </w:r>
      <w:proofErr w:type="gramEnd"/>
      <w:r w:rsidRPr="00F33763">
        <w:rPr>
          <w:rFonts w:ascii="Times New Roman" w:hAnsi="Times New Roman" w:cs="Times New Roman"/>
          <w:sz w:val="20"/>
          <w:szCs w:val="20"/>
        </w:rPr>
        <w:t xml:space="preserve"> So.2d 1040 (La. App. 1976).</w:t>
      </w:r>
    </w:p>
  </w:footnote>
  <w:footnote w:id="158">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1045 (citing </w:t>
      </w:r>
      <w:r w:rsidRPr="00F33763">
        <w:rPr>
          <w:rStyle w:val="Hyperlink6"/>
          <w:rFonts w:ascii="Times New Roman" w:hAnsi="Times New Roman" w:cs="Times New Roman"/>
          <w:i/>
          <w:iCs/>
          <w:u w:val="none"/>
        </w:rPr>
        <w:t xml:space="preserve">Dept. of Hwys. v. Society for Propagation, </w:t>
      </w:r>
      <w:r w:rsidRPr="00F33763">
        <w:rPr>
          <w:rStyle w:val="Hyperlink6"/>
          <w:rFonts w:ascii="Times New Roman" w:hAnsi="Times New Roman" w:cs="Times New Roman"/>
          <w:u w:val="none"/>
        </w:rPr>
        <w:t>321 So.2d 393 (</w:t>
      </w:r>
      <w:r w:rsidR="00F33763" w:rsidRPr="00F33763">
        <w:rPr>
          <w:rStyle w:val="Hyperlink6"/>
          <w:rFonts w:ascii="Times New Roman" w:hAnsi="Times New Roman" w:cs="Times New Roman"/>
          <w:u w:val="none"/>
        </w:rPr>
        <w:t>La.</w:t>
      </w:r>
      <w:r w:rsidR="00F33763">
        <w:rPr>
          <w:rStyle w:val="Hyperlink6"/>
          <w:rFonts w:ascii="Times New Roman" w:hAnsi="Times New Roman" w:cs="Times New Roman"/>
          <w:u w:val="none"/>
        </w:rPr>
        <w:t xml:space="preserve"> </w:t>
      </w:r>
      <w:r w:rsidR="00F33763">
        <w:rPr>
          <w:rStyle w:val="Hyperlink6"/>
          <w:rFonts w:ascii="Times New Roman" w:hAnsi="Times New Roman" w:cs="Times New Roman"/>
          <w:u w:val="none"/>
        </w:rPr>
        <w:t xml:space="preserve">App. </w:t>
      </w:r>
      <w:r w:rsidRPr="00F33763">
        <w:rPr>
          <w:rStyle w:val="Hyperlink6"/>
          <w:rFonts w:ascii="Times New Roman" w:hAnsi="Times New Roman" w:cs="Times New Roman"/>
          <w:u w:val="none"/>
        </w:rPr>
        <w:t>1st Cir. 1975);</w:t>
      </w:r>
      <w:r w:rsidRPr="00F33763">
        <w:rPr>
          <w:rFonts w:ascii="Times New Roman" w:hAnsi="Times New Roman" w:cs="Times New Roman"/>
          <w:sz w:val="20"/>
          <w:szCs w:val="20"/>
        </w:rPr>
        <w:t xml:space="preserve"> </w:t>
      </w:r>
      <w:r w:rsidRPr="00F33763">
        <w:rPr>
          <w:rStyle w:val="Hyperlink6"/>
          <w:rFonts w:ascii="Times New Roman" w:hAnsi="Times New Roman" w:cs="Times New Roman"/>
          <w:i/>
          <w:iCs/>
          <w:u w:val="none"/>
        </w:rPr>
        <w:t>Dept. of H</w:t>
      </w:r>
      <w:r w:rsidR="00F33763">
        <w:rPr>
          <w:rStyle w:val="Hyperlink6"/>
          <w:rFonts w:ascii="Times New Roman" w:hAnsi="Times New Roman" w:cs="Times New Roman"/>
          <w:i/>
          <w:iCs/>
          <w:u w:val="none"/>
        </w:rPr>
        <w:t>w</w:t>
      </w:r>
      <w:r w:rsidRPr="00F33763">
        <w:rPr>
          <w:rStyle w:val="Hyperlink6"/>
          <w:rFonts w:ascii="Times New Roman" w:hAnsi="Times New Roman" w:cs="Times New Roman"/>
          <w:i/>
          <w:iCs/>
          <w:u w:val="none"/>
        </w:rPr>
        <w:t xml:space="preserve">ys. v. William T. Burton Indus., </w:t>
      </w:r>
      <w:r w:rsidRPr="00F33763">
        <w:rPr>
          <w:rStyle w:val="Hyperlink6"/>
          <w:rFonts w:ascii="Times New Roman" w:hAnsi="Times New Roman" w:cs="Times New Roman"/>
          <w:u w:val="none"/>
        </w:rPr>
        <w:t>219 So.2d 837 (La.</w:t>
      </w:r>
      <w:r w:rsidR="00F33763">
        <w:rPr>
          <w:rStyle w:val="Hyperlink6"/>
          <w:rFonts w:ascii="Times New Roman" w:hAnsi="Times New Roman" w:cs="Times New Roman"/>
          <w:u w:val="none"/>
        </w:rPr>
        <w:t xml:space="preserve"> App.</w:t>
      </w:r>
      <w:r w:rsidRPr="00F33763">
        <w:rPr>
          <w:rStyle w:val="Hyperlink6"/>
          <w:rFonts w:ascii="Times New Roman" w:hAnsi="Times New Roman" w:cs="Times New Roman"/>
          <w:u w:val="none"/>
        </w:rPr>
        <w:t xml:space="preserve"> 3rd Cir. 1969)).</w:t>
      </w:r>
    </w:p>
  </w:footnote>
  <w:footnote w:id="159">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00F33763">
        <w:rPr>
          <w:rStyle w:val="Hyperlink6"/>
          <w:rFonts w:ascii="Times New Roman" w:hAnsi="Times New Roman" w:cs="Times New Roman"/>
          <w:i/>
          <w:iCs/>
          <w:u w:val="none"/>
        </w:rPr>
        <w:t>Dept.</w:t>
      </w:r>
      <w:r w:rsidRPr="00F33763">
        <w:rPr>
          <w:rStyle w:val="Hyperlink6"/>
          <w:rFonts w:ascii="Times New Roman" w:hAnsi="Times New Roman" w:cs="Times New Roman"/>
          <w:i/>
          <w:iCs/>
          <w:u w:val="none"/>
        </w:rPr>
        <w:t xml:space="preserve"> of H</w:t>
      </w:r>
      <w:r w:rsidR="00F33763">
        <w:rPr>
          <w:rStyle w:val="Hyperlink6"/>
          <w:rFonts w:ascii="Times New Roman" w:hAnsi="Times New Roman" w:cs="Times New Roman"/>
          <w:i/>
          <w:iCs/>
          <w:u w:val="none"/>
        </w:rPr>
        <w:t>wys.</w:t>
      </w:r>
      <w:r w:rsidRPr="00F33763">
        <w:rPr>
          <w:rStyle w:val="Hyperlink6"/>
          <w:rFonts w:ascii="Times New Roman" w:hAnsi="Times New Roman" w:cs="Times New Roman"/>
          <w:i/>
          <w:iCs/>
          <w:u w:val="none"/>
        </w:rPr>
        <w:t xml:space="preserve"> v. Mayer</w:t>
      </w:r>
      <w:r w:rsidRPr="00F33763">
        <w:rPr>
          <w:rStyle w:val="Hyperlink6"/>
          <w:rFonts w:ascii="Times New Roman" w:hAnsi="Times New Roman" w:cs="Times New Roman"/>
          <w:u w:val="none"/>
        </w:rPr>
        <w:t>, 257 So.2d 723 (La.</w:t>
      </w:r>
      <w:r w:rsidR="00F33763">
        <w:rPr>
          <w:rStyle w:val="Hyperlink6"/>
          <w:rFonts w:ascii="Times New Roman" w:hAnsi="Times New Roman" w:cs="Times New Roman"/>
          <w:u w:val="none"/>
        </w:rPr>
        <w:t xml:space="preserve"> App.</w:t>
      </w:r>
      <w:r w:rsidRPr="00F33763">
        <w:rPr>
          <w:rStyle w:val="Hyperlink6"/>
          <w:rFonts w:ascii="Times New Roman" w:hAnsi="Times New Roman" w:cs="Times New Roman"/>
          <w:u w:val="none"/>
        </w:rPr>
        <w:t xml:space="preserve"> 1st Cir. 1971)).</w:t>
      </w:r>
    </w:p>
  </w:footnote>
  <w:footnote w:id="160">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00F33763">
        <w:rPr>
          <w:rFonts w:ascii="Times New Roman" w:hAnsi="Times New Roman" w:cs="Times New Roman"/>
          <w:iCs/>
          <w:sz w:val="20"/>
          <w:szCs w:val="20"/>
        </w:rPr>
        <w:t>Id.</w:t>
      </w:r>
    </w:p>
  </w:footnote>
  <w:footnote w:id="161">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iCs/>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w:t>
      </w:r>
      <w:proofErr w:type="gramStart"/>
      <w:r w:rsidRPr="00F33763">
        <w:rPr>
          <w:rFonts w:ascii="Times New Roman" w:hAnsi="Times New Roman" w:cs="Times New Roman"/>
          <w:iCs/>
          <w:sz w:val="20"/>
          <w:szCs w:val="20"/>
        </w:rPr>
        <w:t>257</w:t>
      </w:r>
      <w:proofErr w:type="gramEnd"/>
      <w:r w:rsidRPr="00F33763">
        <w:rPr>
          <w:rFonts w:ascii="Times New Roman" w:hAnsi="Times New Roman" w:cs="Times New Roman"/>
          <w:iCs/>
          <w:sz w:val="20"/>
          <w:szCs w:val="20"/>
        </w:rPr>
        <w:t xml:space="preserve"> So.2d 723 (La. App. </w:t>
      </w:r>
      <w:r w:rsidR="00F33763" w:rsidRPr="00F33763">
        <w:rPr>
          <w:rStyle w:val="Hyperlink6"/>
          <w:rFonts w:ascii="Times New Roman" w:hAnsi="Times New Roman" w:cs="Times New Roman"/>
          <w:u w:val="none"/>
        </w:rPr>
        <w:t xml:space="preserve">1st Cir. </w:t>
      </w:r>
      <w:r w:rsidRPr="00F33763">
        <w:rPr>
          <w:rFonts w:ascii="Times New Roman" w:hAnsi="Times New Roman" w:cs="Times New Roman"/>
          <w:iCs/>
          <w:sz w:val="20"/>
          <w:szCs w:val="20"/>
        </w:rPr>
        <w:t>1971).</w:t>
      </w:r>
    </w:p>
  </w:footnote>
  <w:footnote w:id="162">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739.</w:t>
      </w:r>
    </w:p>
  </w:footnote>
  <w:footnote w:id="16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00F33763">
        <w:rPr>
          <w:rFonts w:ascii="Times New Roman" w:hAnsi="Times New Roman" w:cs="Times New Roman"/>
          <w:sz w:val="20"/>
          <w:szCs w:val="20"/>
        </w:rPr>
        <w:t xml:space="preserve"> </w:t>
      </w:r>
      <w:proofErr w:type="gramStart"/>
      <w:r w:rsidR="00F33763">
        <w:rPr>
          <w:rFonts w:ascii="Times New Roman" w:hAnsi="Times New Roman" w:cs="Times New Roman"/>
          <w:sz w:val="20"/>
          <w:szCs w:val="20"/>
        </w:rPr>
        <w:t>219</w:t>
      </w:r>
      <w:proofErr w:type="gramEnd"/>
      <w:r w:rsidR="00F33763">
        <w:rPr>
          <w:rFonts w:ascii="Times New Roman" w:hAnsi="Times New Roman" w:cs="Times New Roman"/>
          <w:sz w:val="20"/>
          <w:szCs w:val="20"/>
        </w:rPr>
        <w:t xml:space="preserve"> So.2d 837 (La. App.</w:t>
      </w:r>
      <w:r w:rsidRPr="00F33763">
        <w:rPr>
          <w:rFonts w:ascii="Times New Roman" w:hAnsi="Times New Roman" w:cs="Times New Roman"/>
          <w:sz w:val="20"/>
          <w:szCs w:val="20"/>
        </w:rPr>
        <w:t xml:space="preserve"> 3d Cir. 1969).</w:t>
      </w:r>
    </w:p>
  </w:footnote>
  <w:footnote w:id="16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 xml:space="preserve">Mayer, </w:t>
      </w:r>
      <w:r w:rsidRPr="00F33763">
        <w:rPr>
          <w:rFonts w:ascii="Times New Roman" w:hAnsi="Times New Roman" w:cs="Times New Roman"/>
          <w:sz w:val="20"/>
          <w:szCs w:val="20"/>
        </w:rPr>
        <w:t xml:space="preserve">257 So.2d at 739 (citing </w:t>
      </w:r>
      <w:r w:rsidRPr="00F33763">
        <w:rPr>
          <w:rFonts w:ascii="Times New Roman" w:hAnsi="Times New Roman" w:cs="Times New Roman"/>
          <w:i/>
          <w:iCs/>
          <w:sz w:val="20"/>
          <w:szCs w:val="20"/>
        </w:rPr>
        <w:t>Burton Industries</w:t>
      </w:r>
      <w:r w:rsidRPr="00F33763">
        <w:rPr>
          <w:rFonts w:ascii="Times New Roman" w:hAnsi="Times New Roman" w:cs="Times New Roman"/>
          <w:sz w:val="20"/>
          <w:szCs w:val="20"/>
        </w:rPr>
        <w:t xml:space="preserve">, 219 So.2d at 842). </w:t>
      </w:r>
    </w:p>
  </w:footnote>
  <w:footnote w:id="16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740.</w:t>
      </w:r>
    </w:p>
  </w:footnote>
  <w:footnote w:id="16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F33763">
        <w:rPr>
          <w:rFonts w:ascii="Times New Roman" w:hAnsi="Times New Roman" w:cs="Times New Roman"/>
          <w:iCs/>
          <w:sz w:val="20"/>
          <w:szCs w:val="20"/>
        </w:rPr>
        <w:t>Id.</w:t>
      </w:r>
      <w:r w:rsidRPr="00F33763">
        <w:rPr>
          <w:rFonts w:ascii="Times New Roman" w:hAnsi="Times New Roman" w:cs="Times New Roman"/>
          <w:sz w:val="20"/>
          <w:szCs w:val="20"/>
        </w:rPr>
        <w:t xml:space="preserve"> at 742</w:t>
      </w:r>
      <w:r w:rsidR="00F33763">
        <w:rPr>
          <w:rFonts w:ascii="Times New Roman" w:hAnsi="Times New Roman" w:cs="Times New Roman"/>
          <w:sz w:val="20"/>
          <w:szCs w:val="20"/>
        </w:rPr>
        <w:t>.</w:t>
      </w:r>
    </w:p>
  </w:footnote>
  <w:footnote w:id="16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9F2682">
        <w:rPr>
          <w:rFonts w:ascii="Times New Roman" w:hAnsi="Times New Roman" w:cs="Times New Roman"/>
          <w:iCs/>
          <w:sz w:val="20"/>
          <w:szCs w:val="20"/>
        </w:rPr>
        <w:t>Id.</w:t>
      </w:r>
      <w:r w:rsidRPr="009F2682">
        <w:rPr>
          <w:rFonts w:ascii="Times New Roman" w:hAnsi="Times New Roman" w:cs="Times New Roman"/>
          <w:sz w:val="20"/>
          <w:szCs w:val="20"/>
        </w:rPr>
        <w:t xml:space="preserve"> (</w:t>
      </w:r>
      <w:r w:rsidRPr="00F33763">
        <w:rPr>
          <w:rFonts w:ascii="Times New Roman" w:hAnsi="Times New Roman" w:cs="Times New Roman"/>
          <w:sz w:val="20"/>
          <w:szCs w:val="20"/>
        </w:rPr>
        <w:t xml:space="preserve">citing </w:t>
      </w:r>
      <w:r w:rsidRPr="009F2682">
        <w:rPr>
          <w:rStyle w:val="Hyperlink6"/>
          <w:rFonts w:ascii="Times New Roman" w:hAnsi="Times New Roman" w:cs="Times New Roman"/>
          <w:i/>
          <w:u w:val="none"/>
        </w:rPr>
        <w:t xml:space="preserve">Burton </w:t>
      </w:r>
      <w:r w:rsidR="009F2682" w:rsidRPr="009F2682">
        <w:rPr>
          <w:rStyle w:val="Hyperlink6"/>
          <w:rFonts w:ascii="Times New Roman" w:hAnsi="Times New Roman" w:cs="Times New Roman"/>
          <w:i/>
          <w:u w:val="none"/>
        </w:rPr>
        <w:t>Indus.,</w:t>
      </w:r>
      <w:r w:rsidRPr="00F33763">
        <w:rPr>
          <w:rStyle w:val="Hyperlink6"/>
          <w:rFonts w:ascii="Times New Roman" w:hAnsi="Times New Roman" w:cs="Times New Roman"/>
          <w:u w:val="none"/>
        </w:rPr>
        <w:t xml:space="preserve"> 219 So.2d </w:t>
      </w:r>
      <w:r w:rsidR="009F2682">
        <w:rPr>
          <w:rStyle w:val="Hyperlink6"/>
          <w:rFonts w:ascii="Times New Roman" w:hAnsi="Times New Roman" w:cs="Times New Roman"/>
          <w:u w:val="none"/>
        </w:rPr>
        <w:t>at 837).</w:t>
      </w:r>
    </w:p>
  </w:footnote>
  <w:footnote w:id="16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009F2682">
        <w:rPr>
          <w:rFonts w:ascii="Times New Roman" w:hAnsi="Times New Roman" w:cs="Times New Roman"/>
          <w:sz w:val="20"/>
          <w:szCs w:val="20"/>
        </w:rPr>
        <w:t xml:space="preserve"> </w:t>
      </w:r>
      <w:proofErr w:type="gramStart"/>
      <w:r w:rsidR="009F2682">
        <w:rPr>
          <w:rFonts w:ascii="Times New Roman" w:hAnsi="Times New Roman" w:cs="Times New Roman"/>
          <w:sz w:val="20"/>
          <w:szCs w:val="20"/>
        </w:rPr>
        <w:t>344</w:t>
      </w:r>
      <w:proofErr w:type="gramEnd"/>
      <w:r w:rsidR="009F2682">
        <w:rPr>
          <w:rFonts w:ascii="Times New Roman" w:hAnsi="Times New Roman" w:cs="Times New Roman"/>
          <w:sz w:val="20"/>
          <w:szCs w:val="20"/>
        </w:rPr>
        <w:t xml:space="preserve"> S.W.2d 37 (Mo. </w:t>
      </w:r>
      <w:r w:rsidRPr="00F33763">
        <w:rPr>
          <w:rFonts w:ascii="Times New Roman" w:hAnsi="Times New Roman" w:cs="Times New Roman"/>
          <w:sz w:val="20"/>
          <w:szCs w:val="20"/>
        </w:rPr>
        <w:t>1</w:t>
      </w:r>
      <w:r w:rsidR="009F2682">
        <w:rPr>
          <w:rFonts w:ascii="Times New Roman" w:hAnsi="Times New Roman" w:cs="Times New Roman"/>
          <w:sz w:val="20"/>
          <w:szCs w:val="20"/>
        </w:rPr>
        <w:t>9</w:t>
      </w:r>
      <w:r w:rsidRPr="00F33763">
        <w:rPr>
          <w:rFonts w:ascii="Times New Roman" w:hAnsi="Times New Roman" w:cs="Times New Roman"/>
          <w:sz w:val="20"/>
          <w:szCs w:val="20"/>
        </w:rPr>
        <w:t>61).</w:t>
      </w:r>
    </w:p>
  </w:footnote>
  <w:footnote w:id="16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9F41E6">
        <w:rPr>
          <w:rStyle w:val="FootnoteReference"/>
          <w:rFonts w:ascii="Times New Roman" w:hAnsi="Times New Roman" w:cs="Times New Roman"/>
          <w:sz w:val="20"/>
          <w:szCs w:val="20"/>
          <w:vertAlign w:val="superscript"/>
        </w:rPr>
        <w:footnoteRef/>
      </w:r>
      <w:r w:rsidRPr="009F41E6">
        <w:rPr>
          <w:rFonts w:ascii="Times New Roman" w:hAnsi="Times New Roman" w:cs="Times New Roman"/>
          <w:sz w:val="20"/>
          <w:szCs w:val="20"/>
        </w:rPr>
        <w:t xml:space="preserve"> </w:t>
      </w:r>
      <w:r w:rsidRPr="009F41E6">
        <w:rPr>
          <w:rFonts w:ascii="Times New Roman" w:hAnsi="Times New Roman" w:cs="Times New Roman"/>
          <w:iCs/>
          <w:sz w:val="20"/>
          <w:szCs w:val="20"/>
        </w:rPr>
        <w:t>Id.</w:t>
      </w:r>
      <w:r w:rsidRPr="009F41E6">
        <w:rPr>
          <w:rFonts w:ascii="Times New Roman" w:hAnsi="Times New Roman" w:cs="Times New Roman"/>
          <w:sz w:val="20"/>
          <w:szCs w:val="20"/>
        </w:rPr>
        <w:t xml:space="preserve"> at 40</w:t>
      </w:r>
      <w:r w:rsidR="009F41E6">
        <w:rPr>
          <w:rFonts w:ascii="Times New Roman" w:hAnsi="Times New Roman" w:cs="Times New Roman"/>
          <w:sz w:val="20"/>
          <w:szCs w:val="20"/>
        </w:rPr>
        <w:t>.</w:t>
      </w:r>
    </w:p>
  </w:footnote>
  <w:footnote w:id="170">
    <w:p w:rsidR="0048673B" w:rsidRPr="00F33763" w:rsidRDefault="0048673B" w:rsidP="00446B31">
      <w:pPr>
        <w:pStyle w:val="FootnoteText"/>
        <w:rPr>
          <w:rFonts w:ascii="Times New Roman" w:hAnsi="Times New Roman" w:cs="Times New Roman"/>
        </w:rPr>
      </w:pPr>
      <w:r w:rsidRPr="00F33763">
        <w:rPr>
          <w:rStyle w:val="FootnoteReference"/>
          <w:rFonts w:ascii="Times New Roman" w:hAnsi="Times New Roman" w:cs="Times New Roman"/>
          <w:vertAlign w:val="superscript"/>
        </w:rPr>
        <w:footnoteRef/>
      </w:r>
      <w:r w:rsidRPr="00F33763">
        <w:rPr>
          <w:rFonts w:ascii="Times New Roman" w:hAnsi="Times New Roman" w:cs="Times New Roman"/>
        </w:rPr>
        <w:t xml:space="preserve"> 648 S.W.2d 555 (Mo. App. 1983)</w:t>
      </w:r>
    </w:p>
  </w:footnote>
  <w:footnote w:id="17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iCs/>
          <w:sz w:val="20"/>
          <w:szCs w:val="20"/>
        </w:rPr>
      </w:pPr>
      <w:r w:rsidRPr="00F33763">
        <w:rPr>
          <w:rStyle w:val="FootnoteReference"/>
          <w:rFonts w:ascii="Times New Roman" w:hAnsi="Times New Roman" w:cs="Times New Roman"/>
          <w:iCs/>
          <w:sz w:val="20"/>
          <w:szCs w:val="20"/>
          <w:vertAlign w:val="superscript"/>
        </w:rPr>
        <w:footnoteRef/>
      </w:r>
      <w:r w:rsidRPr="00F33763">
        <w:rPr>
          <w:rFonts w:ascii="Times New Roman" w:hAnsi="Times New Roman" w:cs="Times New Roman"/>
          <w:iCs/>
          <w:sz w:val="20"/>
          <w:szCs w:val="20"/>
        </w:rPr>
        <w:t xml:space="preserve"> </w:t>
      </w:r>
      <w:proofErr w:type="gramStart"/>
      <w:r w:rsidRPr="00F33763">
        <w:rPr>
          <w:rFonts w:ascii="Times New Roman" w:hAnsi="Times New Roman" w:cs="Times New Roman"/>
          <w:iCs/>
          <w:sz w:val="20"/>
          <w:szCs w:val="20"/>
        </w:rPr>
        <w:t>147</w:t>
      </w:r>
      <w:proofErr w:type="gramEnd"/>
      <w:r w:rsidR="00DB79C3">
        <w:rPr>
          <w:rFonts w:ascii="Times New Roman" w:hAnsi="Times New Roman" w:cs="Times New Roman"/>
          <w:iCs/>
          <w:sz w:val="20"/>
          <w:szCs w:val="20"/>
        </w:rPr>
        <w:t xml:space="preserve"> Colo. 195; 363 P.2d 171 (</w:t>
      </w:r>
      <w:r w:rsidRPr="00F33763">
        <w:rPr>
          <w:rFonts w:ascii="Times New Roman" w:hAnsi="Times New Roman" w:cs="Times New Roman"/>
          <w:iCs/>
          <w:sz w:val="20"/>
          <w:szCs w:val="20"/>
        </w:rPr>
        <w:t>1961).</w:t>
      </w:r>
    </w:p>
  </w:footnote>
  <w:footnote w:id="172">
    <w:p w:rsidR="0048673B" w:rsidRPr="00DB79C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DB79C3">
        <w:rPr>
          <w:rFonts w:ascii="Times New Roman" w:hAnsi="Times New Roman" w:cs="Times New Roman"/>
          <w:iCs/>
          <w:sz w:val="20"/>
          <w:szCs w:val="20"/>
        </w:rPr>
        <w:t>Id.</w:t>
      </w:r>
    </w:p>
  </w:footnote>
  <w:footnote w:id="173">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DB79C3">
        <w:rPr>
          <w:rStyle w:val="FootnoteReference"/>
          <w:rFonts w:ascii="Times New Roman" w:hAnsi="Times New Roman" w:cs="Times New Roman"/>
          <w:sz w:val="20"/>
          <w:szCs w:val="20"/>
          <w:vertAlign w:val="superscript"/>
        </w:rPr>
        <w:footnoteRef/>
      </w:r>
      <w:r w:rsidRPr="00DB79C3">
        <w:rPr>
          <w:rFonts w:ascii="Times New Roman" w:hAnsi="Times New Roman" w:cs="Times New Roman"/>
          <w:sz w:val="20"/>
          <w:szCs w:val="20"/>
        </w:rPr>
        <w:t xml:space="preserve"> </w:t>
      </w:r>
      <w:r w:rsidRPr="00DB79C3">
        <w:rPr>
          <w:rFonts w:ascii="Times New Roman" w:hAnsi="Times New Roman" w:cs="Times New Roman"/>
          <w:iCs/>
          <w:sz w:val="20"/>
          <w:szCs w:val="20"/>
        </w:rPr>
        <w:t>Id.</w:t>
      </w:r>
      <w:r w:rsidRPr="00DB79C3">
        <w:rPr>
          <w:rFonts w:ascii="Times New Roman" w:hAnsi="Times New Roman" w:cs="Times New Roman"/>
          <w:sz w:val="20"/>
          <w:szCs w:val="20"/>
        </w:rPr>
        <w:t xml:space="preserve"> at 201.</w:t>
      </w:r>
    </w:p>
  </w:footnote>
  <w:footnote w:id="174">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DB79C3">
        <w:rPr>
          <w:rFonts w:ascii="Times New Roman" w:hAnsi="Times New Roman" w:cs="Times New Roman"/>
          <w:iCs/>
          <w:sz w:val="20"/>
          <w:szCs w:val="20"/>
        </w:rPr>
        <w:t>Id.</w:t>
      </w:r>
      <w:r w:rsidRPr="00DB79C3">
        <w:rPr>
          <w:rFonts w:ascii="Times New Roman" w:hAnsi="Times New Roman" w:cs="Times New Roman"/>
          <w:sz w:val="20"/>
          <w:szCs w:val="20"/>
        </w:rPr>
        <w:t xml:space="preserve"> at 201</w:t>
      </w:r>
      <w:r w:rsidRPr="00F33763">
        <w:rPr>
          <w:rFonts w:ascii="Times New Roman" w:hAnsi="Times New Roman" w:cs="Times New Roman"/>
          <w:sz w:val="20"/>
          <w:szCs w:val="20"/>
        </w:rPr>
        <w:t xml:space="preserve">(citing </w:t>
      </w:r>
      <w:r w:rsidR="00DB79C3">
        <w:rPr>
          <w:rFonts w:ascii="Times New Roman" w:hAnsi="Times New Roman" w:cs="Times New Roman"/>
          <w:sz w:val="20"/>
          <w:szCs w:val="20"/>
        </w:rPr>
        <w:t xml:space="preserve">Nichols, note 2, </w:t>
      </w:r>
      <w:r w:rsidR="00DB79C3">
        <w:rPr>
          <w:rFonts w:ascii="Times New Roman" w:hAnsi="Times New Roman" w:cs="Times New Roman"/>
          <w:i/>
          <w:sz w:val="20"/>
          <w:szCs w:val="20"/>
        </w:rPr>
        <w:t xml:space="preserve">supra, </w:t>
      </w:r>
      <w:r w:rsidRPr="00F33763">
        <w:rPr>
          <w:rFonts w:ascii="Times New Roman" w:hAnsi="Times New Roman" w:cs="Times New Roman"/>
          <w:sz w:val="20"/>
          <w:szCs w:val="20"/>
        </w:rPr>
        <w:t>122).</w:t>
      </w:r>
    </w:p>
  </w:footnote>
  <w:footnote w:id="17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39</w:t>
      </w:r>
      <w:proofErr w:type="gramEnd"/>
      <w:r w:rsidRPr="00F33763">
        <w:rPr>
          <w:rFonts w:ascii="Times New Roman" w:hAnsi="Times New Roman" w:cs="Times New Roman"/>
          <w:sz w:val="20"/>
          <w:szCs w:val="20"/>
        </w:rPr>
        <w:t xml:space="preserve"> </w:t>
      </w:r>
      <w:proofErr w:type="spellStart"/>
      <w:r w:rsidRPr="00F33763">
        <w:rPr>
          <w:rFonts w:ascii="Times New Roman" w:hAnsi="Times New Roman" w:cs="Times New Roman"/>
          <w:sz w:val="20"/>
          <w:szCs w:val="20"/>
        </w:rPr>
        <w:t>Wn</w:t>
      </w:r>
      <w:proofErr w:type="spellEnd"/>
      <w:r w:rsidRPr="00F33763">
        <w:rPr>
          <w:rFonts w:ascii="Times New Roman" w:hAnsi="Times New Roman" w:cs="Times New Roman"/>
          <w:sz w:val="20"/>
          <w:szCs w:val="20"/>
        </w:rPr>
        <w:t>. App. 218; 693 P.2d 125 (Wash. App. 1984).</w:t>
      </w:r>
    </w:p>
  </w:footnote>
  <w:footnote w:id="17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DB79C3">
        <w:rPr>
          <w:rFonts w:ascii="Times New Roman" w:hAnsi="Times New Roman" w:cs="Times New Roman"/>
          <w:iCs/>
          <w:sz w:val="20"/>
          <w:szCs w:val="20"/>
        </w:rPr>
        <w:t>Id</w:t>
      </w:r>
      <w:r w:rsidRPr="00F33763">
        <w:rPr>
          <w:rFonts w:ascii="Times New Roman" w:hAnsi="Times New Roman" w:cs="Times New Roman"/>
          <w:i/>
          <w:iCs/>
          <w:sz w:val="20"/>
          <w:szCs w:val="20"/>
        </w:rPr>
        <w:t>.</w:t>
      </w:r>
      <w:r w:rsidRPr="00F33763">
        <w:rPr>
          <w:rFonts w:ascii="Times New Roman" w:hAnsi="Times New Roman" w:cs="Times New Roman"/>
          <w:sz w:val="20"/>
          <w:szCs w:val="20"/>
        </w:rPr>
        <w:t xml:space="preserve"> at 127.</w:t>
      </w:r>
    </w:p>
  </w:footnote>
  <w:footnote w:id="177">
    <w:p w:rsidR="0048673B" w:rsidRPr="00DB79C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DB79C3">
        <w:rPr>
          <w:rStyle w:val="FootnoteReference"/>
          <w:rFonts w:ascii="Times New Roman" w:hAnsi="Times New Roman" w:cs="Times New Roman"/>
          <w:sz w:val="20"/>
          <w:szCs w:val="20"/>
          <w:vertAlign w:val="superscript"/>
        </w:rPr>
        <w:footnoteRef/>
      </w:r>
      <w:r w:rsidRPr="00DB79C3">
        <w:rPr>
          <w:rFonts w:ascii="Times New Roman" w:hAnsi="Times New Roman" w:cs="Times New Roman"/>
          <w:sz w:val="20"/>
          <w:szCs w:val="20"/>
        </w:rPr>
        <w:t xml:space="preserve"> </w:t>
      </w:r>
      <w:proofErr w:type="gramStart"/>
      <w:r w:rsidR="00DB79C3">
        <w:rPr>
          <w:rStyle w:val="Hyperlink6"/>
          <w:rFonts w:ascii="Times New Roman" w:hAnsi="Times New Roman" w:cs="Times New Roman"/>
          <w:u w:val="none"/>
        </w:rPr>
        <w:t>104</w:t>
      </w:r>
      <w:proofErr w:type="gramEnd"/>
      <w:r w:rsidR="00DB79C3">
        <w:rPr>
          <w:rStyle w:val="Hyperlink6"/>
          <w:rFonts w:ascii="Times New Roman" w:hAnsi="Times New Roman" w:cs="Times New Roman"/>
          <w:u w:val="none"/>
        </w:rPr>
        <w:t xml:space="preserve"> Wash. 426;</w:t>
      </w:r>
      <w:r w:rsidRPr="00DB79C3">
        <w:rPr>
          <w:rStyle w:val="Hyperlink6"/>
          <w:rFonts w:ascii="Times New Roman" w:hAnsi="Times New Roman" w:cs="Times New Roman"/>
          <w:u w:val="none"/>
        </w:rPr>
        <w:t xml:space="preserve"> 176 P. 670 (1918).</w:t>
      </w:r>
    </w:p>
  </w:footnote>
  <w:footnote w:id="17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B96E70">
        <w:rPr>
          <w:rFonts w:ascii="Times New Roman" w:hAnsi="Times New Roman" w:cs="Times New Roman"/>
          <w:iCs/>
          <w:sz w:val="20"/>
          <w:szCs w:val="20"/>
        </w:rPr>
        <w:t>Id.</w:t>
      </w:r>
      <w:r w:rsidRPr="00B96E70">
        <w:rPr>
          <w:rFonts w:ascii="Times New Roman" w:hAnsi="Times New Roman" w:cs="Times New Roman"/>
          <w:sz w:val="20"/>
          <w:szCs w:val="20"/>
        </w:rPr>
        <w:t xml:space="preserve"> </w:t>
      </w:r>
      <w:r w:rsidRPr="00F33763">
        <w:rPr>
          <w:rFonts w:ascii="Times New Roman" w:hAnsi="Times New Roman" w:cs="Times New Roman"/>
          <w:sz w:val="20"/>
          <w:szCs w:val="20"/>
        </w:rPr>
        <w:t xml:space="preserve">(citing </w:t>
      </w:r>
      <w:r w:rsidRPr="00F33763">
        <w:rPr>
          <w:rStyle w:val="Hyperlink6"/>
          <w:rFonts w:ascii="Times New Roman" w:hAnsi="Times New Roman" w:cs="Times New Roman"/>
          <w:i/>
          <w:iCs/>
          <w:u w:val="none"/>
        </w:rPr>
        <w:t>Lange v. State,</w:t>
      </w:r>
      <w:r w:rsidR="00B96E70">
        <w:rPr>
          <w:rStyle w:val="Hyperlink6"/>
          <w:rFonts w:ascii="Times New Roman" w:hAnsi="Times New Roman" w:cs="Times New Roman"/>
          <w:u w:val="none"/>
        </w:rPr>
        <w:t xml:space="preserve"> 86 Wn.2d 585;</w:t>
      </w:r>
      <w:r w:rsidRPr="00F33763">
        <w:rPr>
          <w:rStyle w:val="Hyperlink6"/>
          <w:rFonts w:ascii="Times New Roman" w:hAnsi="Times New Roman" w:cs="Times New Roman"/>
          <w:u w:val="none"/>
        </w:rPr>
        <w:t xml:space="preserve"> 547 P.2d 282 (1976); </w:t>
      </w:r>
      <w:r w:rsidRPr="00F33763">
        <w:rPr>
          <w:rStyle w:val="Hyperlink6"/>
          <w:rFonts w:ascii="Times New Roman" w:hAnsi="Times New Roman" w:cs="Times New Roman"/>
          <w:i/>
          <w:iCs/>
          <w:u w:val="none"/>
        </w:rPr>
        <w:t>State v. Kruger,</w:t>
      </w:r>
      <w:r w:rsidR="00B96E70">
        <w:rPr>
          <w:rStyle w:val="Hyperlink6"/>
          <w:rFonts w:ascii="Times New Roman" w:hAnsi="Times New Roman" w:cs="Times New Roman"/>
          <w:u w:val="none"/>
        </w:rPr>
        <w:t xml:space="preserve"> 77 Wn.2d 105;</w:t>
      </w:r>
      <w:r w:rsidRPr="00F33763">
        <w:rPr>
          <w:rStyle w:val="Hyperlink6"/>
          <w:rFonts w:ascii="Times New Roman" w:hAnsi="Times New Roman" w:cs="Times New Roman"/>
          <w:u w:val="none"/>
        </w:rPr>
        <w:t xml:space="preserve"> 459 P.2d 648 (1969);</w:t>
      </w:r>
      <w:r w:rsidRPr="00F33763">
        <w:rPr>
          <w:rFonts w:ascii="Times New Roman" w:hAnsi="Times New Roman" w:cs="Times New Roman"/>
          <w:sz w:val="20"/>
          <w:szCs w:val="20"/>
        </w:rPr>
        <w:t xml:space="preserve"> </w:t>
      </w:r>
      <w:r w:rsidRPr="00F33763">
        <w:rPr>
          <w:rStyle w:val="Hyperlink6"/>
          <w:rFonts w:ascii="Times New Roman" w:hAnsi="Times New Roman" w:cs="Times New Roman"/>
          <w:i/>
          <w:iCs/>
          <w:u w:val="none"/>
        </w:rPr>
        <w:t>State v. Sherrill,</w:t>
      </w:r>
      <w:r w:rsidRPr="00F33763">
        <w:rPr>
          <w:rStyle w:val="Hyperlink6"/>
          <w:rFonts w:ascii="Times New Roman" w:hAnsi="Times New Roman" w:cs="Times New Roman"/>
          <w:u w:val="none"/>
        </w:rPr>
        <w:t xml:space="preserve"> 13</w:t>
      </w:r>
      <w:r w:rsidR="00B96E70">
        <w:rPr>
          <w:rStyle w:val="Hyperlink6"/>
          <w:rFonts w:ascii="Times New Roman" w:hAnsi="Times New Roman" w:cs="Times New Roman"/>
          <w:u w:val="none"/>
        </w:rPr>
        <w:t xml:space="preserve"> </w:t>
      </w:r>
      <w:proofErr w:type="spellStart"/>
      <w:r w:rsidR="00B96E70">
        <w:rPr>
          <w:rStyle w:val="Hyperlink6"/>
          <w:rFonts w:ascii="Times New Roman" w:hAnsi="Times New Roman" w:cs="Times New Roman"/>
          <w:u w:val="none"/>
        </w:rPr>
        <w:t>Wn</w:t>
      </w:r>
      <w:proofErr w:type="spellEnd"/>
      <w:r w:rsidR="00B96E70">
        <w:rPr>
          <w:rStyle w:val="Hyperlink6"/>
          <w:rFonts w:ascii="Times New Roman" w:hAnsi="Times New Roman" w:cs="Times New Roman"/>
          <w:u w:val="none"/>
        </w:rPr>
        <w:t>. App. 250;</w:t>
      </w:r>
      <w:r w:rsidRPr="00F33763">
        <w:rPr>
          <w:rStyle w:val="Hyperlink6"/>
          <w:rFonts w:ascii="Times New Roman" w:hAnsi="Times New Roman" w:cs="Times New Roman"/>
          <w:u w:val="none"/>
        </w:rPr>
        <w:t xml:space="preserve"> 534 P.2d 598,</w:t>
      </w:r>
      <w:r w:rsidRPr="00F33763">
        <w:rPr>
          <w:rFonts w:ascii="Times New Roman" w:hAnsi="Times New Roman" w:cs="Times New Roman"/>
          <w:sz w:val="20"/>
          <w:szCs w:val="20"/>
        </w:rPr>
        <w:t xml:space="preserve"> </w:t>
      </w:r>
      <w:r w:rsidRPr="00F33763">
        <w:rPr>
          <w:rFonts w:ascii="Times New Roman" w:hAnsi="Times New Roman" w:cs="Times New Roman"/>
          <w:i/>
          <w:iCs/>
          <w:sz w:val="20"/>
          <w:szCs w:val="20"/>
        </w:rPr>
        <w:t>review denied,</w:t>
      </w:r>
      <w:r w:rsidRPr="00F33763">
        <w:rPr>
          <w:rFonts w:ascii="Times New Roman" w:hAnsi="Times New Roman" w:cs="Times New Roman"/>
          <w:sz w:val="20"/>
          <w:szCs w:val="20"/>
        </w:rPr>
        <w:t xml:space="preserve"> </w:t>
      </w:r>
      <w:r w:rsidRPr="00F33763">
        <w:rPr>
          <w:rStyle w:val="Hyperlink6"/>
          <w:rFonts w:ascii="Times New Roman" w:hAnsi="Times New Roman" w:cs="Times New Roman"/>
          <w:u w:val="none"/>
        </w:rPr>
        <w:t>86 Wn.2d 1002 (1975)).</w:t>
      </w:r>
      <w:r w:rsidRPr="00F33763">
        <w:rPr>
          <w:rFonts w:ascii="Times New Roman" w:hAnsi="Times New Roman" w:cs="Times New Roman"/>
          <w:sz w:val="20"/>
          <w:szCs w:val="20"/>
        </w:rPr>
        <w:t> </w:t>
      </w:r>
    </w:p>
  </w:footnote>
  <w:footnote w:id="179">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473</w:t>
      </w:r>
      <w:proofErr w:type="gramEnd"/>
      <w:r w:rsidRPr="00F33763">
        <w:rPr>
          <w:rFonts w:ascii="Times New Roman" w:hAnsi="Times New Roman" w:cs="Times New Roman"/>
          <w:sz w:val="20"/>
          <w:szCs w:val="20"/>
        </w:rPr>
        <w:t xml:space="preserve"> Mich. 124; 700 N.W.2d 380 (2005).</w:t>
      </w:r>
    </w:p>
  </w:footnote>
  <w:footnote w:id="180">
    <w:p w:rsidR="0048673B" w:rsidRPr="00F33763" w:rsidRDefault="0048673B" w:rsidP="00446B31">
      <w:pPr>
        <w:rPr>
          <w:rFonts w:ascii="Times New Roman" w:hAnsi="Times New Roman" w:cs="Times New Roman"/>
          <w:sz w:val="20"/>
          <w:szCs w:val="20"/>
        </w:rPr>
      </w:pPr>
      <w:r w:rsidRPr="00F33763">
        <w:rPr>
          <w:rStyle w:val="FootnoteReference"/>
          <w:rFonts w:ascii="Times New Roman" w:hAnsi="Times New Roman" w:cs="Times New Roman"/>
          <w:sz w:val="20"/>
          <w:szCs w:val="20"/>
        </w:rPr>
        <w:footnoteRef/>
      </w:r>
      <w:r w:rsidRPr="00F33763">
        <w:rPr>
          <w:rFonts w:ascii="Times New Roman" w:hAnsi="Times New Roman" w:cs="Times New Roman"/>
          <w:sz w:val="20"/>
          <w:szCs w:val="20"/>
        </w:rPr>
        <w:t xml:space="preserve"> </w:t>
      </w:r>
      <w:r w:rsidRPr="00F33763">
        <w:rPr>
          <w:rFonts w:ascii="Times New Roman" w:hAnsi="Times New Roman" w:cs="Times New Roman"/>
          <w:i/>
          <w:sz w:val="20"/>
          <w:szCs w:val="20"/>
        </w:rPr>
        <w:t xml:space="preserve">See, e.g., </w:t>
      </w:r>
      <w:r w:rsidRPr="00F33763">
        <w:rPr>
          <w:rFonts w:ascii="Times New Roman" w:eastAsia="Times New Roman" w:hAnsi="Times New Roman" w:cs="Times New Roman"/>
          <w:i/>
          <w:sz w:val="20"/>
          <w:szCs w:val="20"/>
        </w:rPr>
        <w:t>Para</w:t>
      </w:r>
      <w:r w:rsidR="00B96E70">
        <w:rPr>
          <w:rFonts w:ascii="Times New Roman" w:eastAsia="Times New Roman" w:hAnsi="Times New Roman" w:cs="Times New Roman"/>
          <w:i/>
          <w:sz w:val="20"/>
          <w:szCs w:val="20"/>
        </w:rPr>
        <w:t xml:space="preserve">dise Valley v. Young Fin. </w:t>
      </w:r>
      <w:proofErr w:type="spellStart"/>
      <w:proofErr w:type="gramStart"/>
      <w:r w:rsidR="00B96E70">
        <w:rPr>
          <w:rFonts w:ascii="Times New Roman" w:eastAsia="Times New Roman" w:hAnsi="Times New Roman" w:cs="Times New Roman"/>
          <w:i/>
          <w:sz w:val="20"/>
          <w:szCs w:val="20"/>
        </w:rPr>
        <w:t>Svcs</w:t>
      </w:r>
      <w:proofErr w:type="spellEnd"/>
      <w:r w:rsidR="00B96E70">
        <w:rPr>
          <w:rFonts w:ascii="Times New Roman" w:eastAsia="Times New Roman" w:hAnsi="Times New Roman" w:cs="Times New Roman"/>
          <w:i/>
          <w:sz w:val="20"/>
          <w:szCs w:val="20"/>
        </w:rPr>
        <w:t>.</w:t>
      </w:r>
      <w:r w:rsidRPr="00F33763">
        <w:rPr>
          <w:rFonts w:ascii="Times New Roman" w:eastAsia="Times New Roman" w:hAnsi="Times New Roman" w:cs="Times New Roman"/>
          <w:i/>
          <w:sz w:val="20"/>
          <w:szCs w:val="20"/>
        </w:rPr>
        <w:t>,</w:t>
      </w:r>
      <w:proofErr w:type="gramEnd"/>
      <w:r w:rsidRPr="00F33763">
        <w:rPr>
          <w:rFonts w:ascii="Times New Roman" w:eastAsia="Times New Roman" w:hAnsi="Times New Roman" w:cs="Times New Roman"/>
          <w:i/>
          <w:sz w:val="20"/>
          <w:szCs w:val="20"/>
        </w:rPr>
        <w:t xml:space="preserve"> </w:t>
      </w:r>
      <w:r w:rsidRPr="00F33763">
        <w:rPr>
          <w:rFonts w:ascii="Times New Roman" w:eastAsia="Times New Roman" w:hAnsi="Times New Roman" w:cs="Times New Roman"/>
          <w:sz w:val="20"/>
          <w:szCs w:val="20"/>
        </w:rPr>
        <w:t xml:space="preserve">177 Ariz. 388; 868 P.2d 971 (1993) (evidence of reasonable probability that special use zoning permit would be issued is admissible to prove enhanced value of property zoned residential); </w:t>
      </w:r>
      <w:r w:rsidRPr="00F33763">
        <w:rPr>
          <w:rFonts w:ascii="Times New Roman" w:hAnsi="Times New Roman" w:cs="Times New Roman"/>
          <w:i/>
          <w:sz w:val="20"/>
          <w:szCs w:val="20"/>
        </w:rPr>
        <w:t xml:space="preserve">Merced Irrigation Dist. v. </w:t>
      </w:r>
      <w:proofErr w:type="spellStart"/>
      <w:r w:rsidRPr="00F33763">
        <w:rPr>
          <w:rFonts w:ascii="Times New Roman" w:hAnsi="Times New Roman" w:cs="Times New Roman"/>
          <w:i/>
          <w:sz w:val="20"/>
          <w:szCs w:val="20"/>
        </w:rPr>
        <w:t>Woolstenhulme</w:t>
      </w:r>
      <w:proofErr w:type="spellEnd"/>
      <w:r w:rsidRPr="00F33763">
        <w:rPr>
          <w:rFonts w:ascii="Times New Roman" w:hAnsi="Times New Roman" w:cs="Times New Roman"/>
          <w:i/>
          <w:sz w:val="20"/>
          <w:szCs w:val="20"/>
        </w:rPr>
        <w:t xml:space="preserve">, </w:t>
      </w:r>
      <w:r w:rsidRPr="00F33763">
        <w:rPr>
          <w:rFonts w:ascii="Times New Roman" w:hAnsi="Times New Roman" w:cs="Times New Roman"/>
          <w:sz w:val="20"/>
          <w:szCs w:val="20"/>
        </w:rPr>
        <w:t>4</w:t>
      </w:r>
      <w:r w:rsidR="00B96E70">
        <w:rPr>
          <w:rFonts w:ascii="Times New Roman" w:hAnsi="Times New Roman" w:cs="Times New Roman"/>
          <w:sz w:val="20"/>
          <w:szCs w:val="20"/>
        </w:rPr>
        <w:t xml:space="preserve"> Cal. 3d 378; 483 P.2d 1 (1971) </w:t>
      </w:r>
      <w:r w:rsidRPr="00F33763">
        <w:rPr>
          <w:rFonts w:ascii="Times New Roman" w:hAnsi="Times New Roman" w:cs="Times New Roman"/>
          <w:sz w:val="20"/>
          <w:szCs w:val="20"/>
        </w:rPr>
        <w:t xml:space="preserve"> (reasonable probability of zoning changes can likely be considered as a factor in valuation); </w:t>
      </w:r>
      <w:r w:rsidR="00B96E70">
        <w:rPr>
          <w:rFonts w:ascii="Times New Roman" w:hAnsi="Times New Roman" w:cs="Times New Roman"/>
          <w:i/>
          <w:sz w:val="20"/>
          <w:szCs w:val="20"/>
        </w:rPr>
        <w:t>Bd. o</w:t>
      </w:r>
      <w:r w:rsidRPr="00F33763">
        <w:rPr>
          <w:rFonts w:ascii="Times New Roman" w:hAnsi="Times New Roman" w:cs="Times New Roman"/>
          <w:i/>
          <w:sz w:val="20"/>
          <w:szCs w:val="20"/>
        </w:rPr>
        <w:t xml:space="preserve">f Comm. of State Institutions v. Tallahassee Bank and Trust Co., </w:t>
      </w:r>
      <w:r w:rsidRPr="00F33763">
        <w:rPr>
          <w:rFonts w:ascii="Times New Roman" w:hAnsi="Times New Roman" w:cs="Times New Roman"/>
          <w:sz w:val="20"/>
          <w:szCs w:val="20"/>
        </w:rPr>
        <w:t>108 So. 2d 74, 83-84 (</w:t>
      </w:r>
      <w:r w:rsidR="00B96E70">
        <w:rPr>
          <w:rFonts w:ascii="Times New Roman" w:hAnsi="Times New Roman" w:cs="Times New Roman"/>
          <w:sz w:val="20"/>
          <w:szCs w:val="20"/>
        </w:rPr>
        <w:t xml:space="preserve">Fla. </w:t>
      </w:r>
      <w:r w:rsidRPr="00F33763">
        <w:rPr>
          <w:rFonts w:ascii="Times New Roman" w:hAnsi="Times New Roman" w:cs="Times New Roman"/>
          <w:sz w:val="20"/>
          <w:szCs w:val="20"/>
        </w:rPr>
        <w:t>1959) (</w:t>
      </w:r>
      <w:r w:rsidRPr="00F33763">
        <w:rPr>
          <w:rFonts w:ascii="Times New Roman" w:eastAsia="Times New Roman" w:hAnsi="Times New Roman" w:cs="Times New Roman"/>
          <w:color w:val="333333"/>
          <w:sz w:val="20"/>
          <w:szCs w:val="20"/>
        </w:rPr>
        <w:t xml:space="preserve">Evidence of reasonable probability of rezoning can be considered.). </w:t>
      </w:r>
    </w:p>
  </w:footnote>
  <w:footnote w:id="181">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11-58 Corbin on Contracts, §1063.</w:t>
      </w:r>
    </w:p>
  </w:footnote>
  <w:footnote w:id="182">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B96E70">
        <w:rPr>
          <w:rFonts w:ascii="Times New Roman" w:hAnsi="Times New Roman" w:cs="Times New Roman"/>
          <w:iCs/>
          <w:sz w:val="20"/>
          <w:szCs w:val="20"/>
        </w:rPr>
        <w:t>Id.</w:t>
      </w:r>
      <w:r w:rsidRPr="00B96E70">
        <w:rPr>
          <w:rFonts w:ascii="Times New Roman" w:hAnsi="Times New Roman" w:cs="Times New Roman"/>
          <w:sz w:val="20"/>
          <w:szCs w:val="20"/>
        </w:rPr>
        <w:t xml:space="preserve"> </w:t>
      </w:r>
      <w:r w:rsidRPr="00F33763">
        <w:rPr>
          <w:rFonts w:ascii="Times New Roman" w:hAnsi="Times New Roman" w:cs="Times New Roman"/>
          <w:i/>
          <w:iCs/>
          <w:sz w:val="20"/>
          <w:szCs w:val="20"/>
        </w:rPr>
        <w:t>See, e.g.</w:t>
      </w:r>
      <w:r w:rsidRPr="00F33763">
        <w:rPr>
          <w:rFonts w:ascii="Times New Roman" w:hAnsi="Times New Roman" w:cs="Times New Roman"/>
          <w:sz w:val="20"/>
          <w:szCs w:val="20"/>
        </w:rPr>
        <w:t xml:space="preserve">, </w:t>
      </w:r>
      <w:proofErr w:type="spellStart"/>
      <w:r w:rsidRPr="00B96E70">
        <w:rPr>
          <w:rFonts w:ascii="Times New Roman" w:hAnsi="Times New Roman" w:cs="Times New Roman"/>
          <w:i/>
          <w:sz w:val="20"/>
          <w:szCs w:val="20"/>
        </w:rPr>
        <w:t>Massman</w:t>
      </w:r>
      <w:proofErr w:type="spellEnd"/>
      <w:r w:rsidRPr="00B96E70">
        <w:rPr>
          <w:rFonts w:ascii="Times New Roman" w:hAnsi="Times New Roman" w:cs="Times New Roman"/>
          <w:i/>
          <w:sz w:val="20"/>
          <w:szCs w:val="20"/>
        </w:rPr>
        <w:t xml:space="preserve"> Const. Co. v. City Council of Greenville</w:t>
      </w:r>
      <w:r w:rsidRPr="00F33763">
        <w:rPr>
          <w:rFonts w:ascii="Times New Roman" w:hAnsi="Times New Roman" w:cs="Times New Roman"/>
          <w:sz w:val="20"/>
          <w:szCs w:val="20"/>
        </w:rPr>
        <w:t>, 147 F.2d 925 (</w:t>
      </w:r>
      <w:proofErr w:type="gramStart"/>
      <w:r w:rsidR="00B96E70">
        <w:rPr>
          <w:rFonts w:ascii="Times New Roman" w:hAnsi="Times New Roman" w:cs="Times New Roman"/>
          <w:sz w:val="20"/>
          <w:szCs w:val="20"/>
        </w:rPr>
        <w:t>5th</w:t>
      </w:r>
      <w:proofErr w:type="gramEnd"/>
      <w:r w:rsidR="00B96E70">
        <w:rPr>
          <w:rFonts w:ascii="Times New Roman" w:hAnsi="Times New Roman" w:cs="Times New Roman"/>
          <w:sz w:val="20"/>
          <w:szCs w:val="20"/>
        </w:rPr>
        <w:t xml:space="preserve"> Cir.</w:t>
      </w:r>
      <w:r w:rsidRPr="00F33763">
        <w:rPr>
          <w:rFonts w:ascii="Times New Roman" w:hAnsi="Times New Roman" w:cs="Times New Roman"/>
          <w:sz w:val="20"/>
          <w:szCs w:val="20"/>
        </w:rPr>
        <w:t xml:space="preserve"> 1945); </w:t>
      </w:r>
      <w:r w:rsidRPr="00B96E70">
        <w:rPr>
          <w:rFonts w:ascii="Times New Roman" w:hAnsi="Times New Roman" w:cs="Times New Roman"/>
          <w:i/>
          <w:sz w:val="20"/>
          <w:szCs w:val="20"/>
        </w:rPr>
        <w:t>The Colombia</w:t>
      </w:r>
      <w:r w:rsidRPr="00F33763">
        <w:rPr>
          <w:rFonts w:ascii="Times New Roman" w:hAnsi="Times New Roman" w:cs="Times New Roman"/>
          <w:sz w:val="20"/>
          <w:szCs w:val="20"/>
        </w:rPr>
        <w:t>, 197 F. 661 (</w:t>
      </w:r>
      <w:r w:rsidR="00B96E70">
        <w:rPr>
          <w:rFonts w:ascii="Times New Roman" w:hAnsi="Times New Roman" w:cs="Times New Roman"/>
          <w:sz w:val="20"/>
          <w:szCs w:val="20"/>
        </w:rPr>
        <w:t>S.D. Ala.</w:t>
      </w:r>
      <w:r w:rsidRPr="00F33763">
        <w:rPr>
          <w:rFonts w:ascii="Times New Roman" w:hAnsi="Times New Roman" w:cs="Times New Roman"/>
          <w:sz w:val="20"/>
          <w:szCs w:val="20"/>
        </w:rPr>
        <w:t xml:space="preserve"> 1912) ($100 / day demurrage for ship repairs running overtime was unenforceable where it was shown that the ship would have earned no income during the del</w:t>
      </w:r>
      <w:r w:rsidR="00B96E70">
        <w:rPr>
          <w:rFonts w:ascii="Times New Roman" w:hAnsi="Times New Roman" w:cs="Times New Roman"/>
          <w:sz w:val="20"/>
          <w:szCs w:val="20"/>
        </w:rPr>
        <w:t>ay)</w:t>
      </w:r>
      <w:r w:rsidRPr="00F33763">
        <w:rPr>
          <w:rFonts w:ascii="Times New Roman" w:hAnsi="Times New Roman" w:cs="Times New Roman"/>
          <w:sz w:val="20"/>
          <w:szCs w:val="20"/>
        </w:rPr>
        <w:t>.</w:t>
      </w:r>
    </w:p>
  </w:footnote>
  <w:footnote w:id="183">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00B96E70">
        <w:rPr>
          <w:rFonts w:ascii="Times New Roman" w:hAnsi="Times New Roman" w:cs="Times New Roman"/>
          <w:sz w:val="20"/>
          <w:szCs w:val="20"/>
        </w:rPr>
        <w:t xml:space="preserve"> Id. </w:t>
      </w:r>
    </w:p>
  </w:footnote>
  <w:footnote w:id="184">
    <w:p w:rsidR="0048673B" w:rsidRPr="00F33763" w:rsidRDefault="0048673B" w:rsidP="00446B3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00B96E70">
        <w:rPr>
          <w:rFonts w:ascii="Times New Roman" w:hAnsi="Times New Roman" w:cs="Times New Roman"/>
          <w:sz w:val="20"/>
          <w:szCs w:val="20"/>
        </w:rPr>
        <w:t>FRE</w:t>
      </w:r>
      <w:r w:rsidRPr="00F33763">
        <w:rPr>
          <w:rFonts w:ascii="Times New Roman" w:hAnsi="Times New Roman" w:cs="Times New Roman"/>
          <w:sz w:val="20"/>
          <w:szCs w:val="20"/>
        </w:rPr>
        <w:t xml:space="preserve"> 407.</w:t>
      </w:r>
    </w:p>
  </w:footnote>
  <w:footnote w:id="185">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29</w:t>
      </w:r>
      <w:proofErr w:type="gramEnd"/>
      <w:r w:rsidRPr="00F33763">
        <w:rPr>
          <w:rFonts w:ascii="Times New Roman" w:hAnsi="Times New Roman" w:cs="Times New Roman"/>
          <w:sz w:val="20"/>
          <w:szCs w:val="20"/>
        </w:rPr>
        <w:t xml:space="preserve"> Am.Jur.2d Evidence</w:t>
      </w:r>
      <w:r w:rsidR="00B96E70">
        <w:rPr>
          <w:rFonts w:ascii="Times New Roman" w:hAnsi="Times New Roman" w:cs="Times New Roman"/>
          <w:sz w:val="20"/>
          <w:szCs w:val="20"/>
        </w:rPr>
        <w:t>,</w:t>
      </w:r>
      <w:r w:rsidRPr="00F33763">
        <w:rPr>
          <w:rFonts w:ascii="Times New Roman" w:hAnsi="Times New Roman" w:cs="Times New Roman"/>
          <w:sz w:val="20"/>
          <w:szCs w:val="20"/>
        </w:rPr>
        <w:t xml:space="preserve"> §464.</w:t>
      </w:r>
    </w:p>
  </w:footnote>
  <w:footnote w:id="186">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F</w:t>
      </w:r>
      <w:r w:rsidR="00B96E70">
        <w:rPr>
          <w:rFonts w:ascii="Times New Roman" w:hAnsi="Times New Roman" w:cs="Times New Roman"/>
          <w:sz w:val="20"/>
          <w:szCs w:val="20"/>
        </w:rPr>
        <w:t>RE</w:t>
      </w:r>
      <w:r w:rsidRPr="00F33763">
        <w:rPr>
          <w:rFonts w:ascii="Times New Roman" w:hAnsi="Times New Roman" w:cs="Times New Roman"/>
          <w:sz w:val="20"/>
          <w:szCs w:val="20"/>
        </w:rPr>
        <w:t xml:space="preserve"> 407 (“This rule does not require the exclusion of evidence of subsequent measures when offered for another purpose, </w:t>
      </w:r>
      <w:r w:rsidRPr="00F33763">
        <w:rPr>
          <w:rFonts w:ascii="Times New Roman" w:hAnsi="Times New Roman" w:cs="Times New Roman"/>
          <w:i/>
          <w:iCs/>
          <w:sz w:val="20"/>
          <w:szCs w:val="20"/>
        </w:rPr>
        <w:t>such as</w:t>
      </w:r>
      <w:r w:rsidRPr="00F33763">
        <w:rPr>
          <w:rFonts w:ascii="Times New Roman" w:hAnsi="Times New Roman" w:cs="Times New Roman"/>
          <w:sz w:val="20"/>
          <w:szCs w:val="20"/>
        </w:rPr>
        <w:t>. . .”).</w:t>
      </w:r>
    </w:p>
  </w:footnote>
  <w:footnote w:id="187">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00B96E70">
        <w:rPr>
          <w:rFonts w:ascii="Times New Roman" w:hAnsi="Times New Roman" w:cs="Times New Roman"/>
          <w:iCs/>
          <w:sz w:val="20"/>
          <w:szCs w:val="20"/>
        </w:rPr>
        <w:t>29</w:t>
      </w:r>
      <w:proofErr w:type="gramEnd"/>
      <w:r w:rsidRPr="00F33763">
        <w:rPr>
          <w:rFonts w:ascii="Times New Roman" w:hAnsi="Times New Roman" w:cs="Times New Roman"/>
          <w:sz w:val="20"/>
          <w:szCs w:val="20"/>
        </w:rPr>
        <w:t xml:space="preserve"> Am.Jur.2d Evidence</w:t>
      </w:r>
      <w:r w:rsidR="00B96E70">
        <w:rPr>
          <w:rFonts w:ascii="Times New Roman" w:hAnsi="Times New Roman" w:cs="Times New Roman"/>
          <w:sz w:val="20"/>
          <w:szCs w:val="20"/>
        </w:rPr>
        <w:t>,</w:t>
      </w:r>
      <w:r w:rsidRPr="00F33763">
        <w:rPr>
          <w:rFonts w:ascii="Times New Roman" w:hAnsi="Times New Roman" w:cs="Times New Roman"/>
          <w:sz w:val="20"/>
          <w:szCs w:val="20"/>
        </w:rPr>
        <w:t xml:space="preserve"> §464.</w:t>
      </w:r>
    </w:p>
  </w:footnote>
  <w:footnote w:id="188">
    <w:p w:rsidR="0048673B" w:rsidRPr="00F33763"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MS PMincho"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proofErr w:type="gramStart"/>
      <w:r w:rsidRPr="00F33763">
        <w:rPr>
          <w:rFonts w:ascii="Times New Roman" w:hAnsi="Times New Roman" w:cs="Times New Roman"/>
          <w:sz w:val="20"/>
          <w:szCs w:val="20"/>
        </w:rPr>
        <w:t>29</w:t>
      </w:r>
      <w:proofErr w:type="gramEnd"/>
      <w:r w:rsidRPr="00F33763">
        <w:rPr>
          <w:rFonts w:ascii="Times New Roman" w:hAnsi="Times New Roman" w:cs="Times New Roman"/>
          <w:sz w:val="20"/>
          <w:szCs w:val="20"/>
        </w:rPr>
        <w:t xml:space="preserve"> Am.Jur.2d Evidence</w:t>
      </w:r>
      <w:r w:rsidR="00B96E70">
        <w:rPr>
          <w:rFonts w:ascii="Times New Roman" w:hAnsi="Times New Roman" w:cs="Times New Roman"/>
          <w:sz w:val="20"/>
          <w:szCs w:val="20"/>
        </w:rPr>
        <w:t>,</w:t>
      </w:r>
      <w:r w:rsidRPr="00F33763">
        <w:rPr>
          <w:rFonts w:ascii="Times New Roman" w:hAnsi="Times New Roman" w:cs="Times New Roman"/>
          <w:sz w:val="20"/>
          <w:szCs w:val="20"/>
        </w:rPr>
        <w:t xml:space="preserve"> §464.</w:t>
      </w:r>
    </w:p>
  </w:footnote>
  <w:footnote w:id="189">
    <w:p w:rsidR="0048673B" w:rsidRPr="00A271C9" w:rsidRDefault="0048673B" w:rsidP="00446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cs="Times New Roman"/>
          <w:sz w:val="20"/>
          <w:szCs w:val="20"/>
        </w:rPr>
      </w:pPr>
      <w:r w:rsidRPr="00F33763">
        <w:rPr>
          <w:rStyle w:val="FootnoteReference"/>
          <w:rFonts w:ascii="Times New Roman" w:hAnsi="Times New Roman" w:cs="Times New Roman"/>
          <w:sz w:val="20"/>
          <w:szCs w:val="20"/>
          <w:vertAlign w:val="superscript"/>
        </w:rPr>
        <w:footnoteRef/>
      </w:r>
      <w:r w:rsidRPr="00F33763">
        <w:rPr>
          <w:rFonts w:ascii="Times New Roman" w:hAnsi="Times New Roman" w:cs="Times New Roman"/>
          <w:sz w:val="20"/>
          <w:szCs w:val="20"/>
        </w:rPr>
        <w:t xml:space="preserve"> </w:t>
      </w:r>
      <w:r w:rsidRPr="00B96E70">
        <w:rPr>
          <w:rFonts w:ascii="Times New Roman" w:hAnsi="Times New Roman" w:cs="Times New Roman"/>
          <w:iCs/>
          <w:sz w:val="20"/>
          <w:szCs w:val="20"/>
        </w:rPr>
        <w:t>Id.</w:t>
      </w:r>
      <w:r w:rsidRPr="00F33763">
        <w:rPr>
          <w:rFonts w:ascii="Times New Roman" w:hAnsi="Times New Roman" w:cs="Times New Roman"/>
          <w:sz w:val="20"/>
          <w:szCs w:val="20"/>
        </w:rPr>
        <w:t xml:space="preserve"> (citing </w:t>
      </w:r>
      <w:r w:rsidRPr="00B96E70">
        <w:rPr>
          <w:rFonts w:ascii="Times New Roman" w:hAnsi="Times New Roman" w:cs="Times New Roman"/>
          <w:i/>
          <w:sz w:val="20"/>
          <w:szCs w:val="20"/>
        </w:rPr>
        <w:t>Columbia &amp; P. S. R. Co. v Hawthorne</w:t>
      </w:r>
      <w:r w:rsidR="00B96E70">
        <w:rPr>
          <w:rFonts w:ascii="Times New Roman" w:hAnsi="Times New Roman" w:cs="Times New Roman"/>
          <w:sz w:val="20"/>
          <w:szCs w:val="20"/>
        </w:rPr>
        <w:t>, 144 U</w:t>
      </w:r>
      <w:r w:rsidR="00A271C9">
        <w:rPr>
          <w:rFonts w:ascii="Times New Roman" w:hAnsi="Times New Roman" w:cs="Times New Roman"/>
          <w:sz w:val="20"/>
          <w:szCs w:val="20"/>
        </w:rPr>
        <w:t>.</w:t>
      </w:r>
      <w:r w:rsidR="00B96E70">
        <w:rPr>
          <w:rFonts w:ascii="Times New Roman" w:hAnsi="Times New Roman" w:cs="Times New Roman"/>
          <w:sz w:val="20"/>
          <w:szCs w:val="20"/>
        </w:rPr>
        <w:t>S</w:t>
      </w:r>
      <w:r w:rsidR="00A271C9">
        <w:rPr>
          <w:rFonts w:ascii="Times New Roman" w:hAnsi="Times New Roman" w:cs="Times New Roman"/>
          <w:sz w:val="20"/>
          <w:szCs w:val="20"/>
        </w:rPr>
        <w:t>.</w:t>
      </w:r>
      <w:r w:rsidR="00B96E70">
        <w:rPr>
          <w:rFonts w:ascii="Times New Roman" w:hAnsi="Times New Roman" w:cs="Times New Roman"/>
          <w:sz w:val="20"/>
          <w:szCs w:val="20"/>
        </w:rPr>
        <w:t xml:space="preserve"> 202 (1892)</w:t>
      </w:r>
      <w:r w:rsidRPr="00F33763">
        <w:rPr>
          <w:rFonts w:ascii="Times New Roman" w:hAnsi="Times New Roman" w:cs="Times New Roman"/>
          <w:sz w:val="20"/>
          <w:szCs w:val="20"/>
        </w:rPr>
        <w:t xml:space="preserve">; </w:t>
      </w:r>
      <w:r w:rsidRPr="00B96E70">
        <w:rPr>
          <w:rFonts w:ascii="Times New Roman" w:hAnsi="Times New Roman" w:cs="Times New Roman"/>
          <w:i/>
          <w:sz w:val="20"/>
          <w:szCs w:val="20"/>
        </w:rPr>
        <w:t>Camp Bird v</w:t>
      </w:r>
      <w:r w:rsidR="00A271C9">
        <w:rPr>
          <w:rFonts w:ascii="Times New Roman" w:hAnsi="Times New Roman" w:cs="Times New Roman"/>
          <w:i/>
          <w:sz w:val="20"/>
          <w:szCs w:val="20"/>
        </w:rPr>
        <w:t>.</w:t>
      </w:r>
      <w:r w:rsidRPr="00B96E70">
        <w:rPr>
          <w:rFonts w:ascii="Times New Roman" w:hAnsi="Times New Roman" w:cs="Times New Roman"/>
          <w:i/>
          <w:sz w:val="20"/>
          <w:szCs w:val="20"/>
        </w:rPr>
        <w:t xml:space="preserve"> </w:t>
      </w:r>
      <w:r w:rsidR="00A271C9">
        <w:rPr>
          <w:rFonts w:ascii="Times New Roman" w:hAnsi="Times New Roman" w:cs="Times New Roman"/>
          <w:i/>
          <w:sz w:val="20"/>
          <w:szCs w:val="20"/>
        </w:rPr>
        <w:t>Larson,</w:t>
      </w:r>
      <w:r w:rsidRPr="00F33763">
        <w:rPr>
          <w:rFonts w:ascii="Times New Roman" w:hAnsi="Times New Roman" w:cs="Times New Roman"/>
          <w:sz w:val="20"/>
          <w:szCs w:val="20"/>
        </w:rPr>
        <w:t xml:space="preserve"> 152 F</w:t>
      </w:r>
      <w:r w:rsidR="00A271C9">
        <w:rPr>
          <w:rFonts w:ascii="Times New Roman" w:hAnsi="Times New Roman" w:cs="Times New Roman"/>
          <w:sz w:val="20"/>
          <w:szCs w:val="20"/>
        </w:rPr>
        <w:t>.</w:t>
      </w:r>
      <w:r w:rsidRPr="00F33763">
        <w:rPr>
          <w:rFonts w:ascii="Times New Roman" w:hAnsi="Times New Roman" w:cs="Times New Roman"/>
          <w:sz w:val="20"/>
          <w:szCs w:val="20"/>
        </w:rPr>
        <w:t xml:space="preserve"> 160</w:t>
      </w:r>
      <w:r w:rsidR="00A271C9">
        <w:rPr>
          <w:rFonts w:ascii="Times New Roman" w:hAnsi="Times New Roman" w:cs="Times New Roman"/>
          <w:sz w:val="20"/>
          <w:szCs w:val="20"/>
        </w:rPr>
        <w:t xml:space="preserve"> (</w:t>
      </w:r>
      <w:proofErr w:type="gramStart"/>
      <w:r w:rsidR="00A271C9">
        <w:rPr>
          <w:rFonts w:ascii="Times New Roman" w:hAnsi="Times New Roman" w:cs="Times New Roman"/>
          <w:sz w:val="20"/>
          <w:szCs w:val="20"/>
        </w:rPr>
        <w:t>8th</w:t>
      </w:r>
      <w:proofErr w:type="gramEnd"/>
      <w:r w:rsidR="00A271C9">
        <w:rPr>
          <w:rFonts w:ascii="Times New Roman" w:hAnsi="Times New Roman" w:cs="Times New Roman"/>
          <w:sz w:val="20"/>
          <w:szCs w:val="20"/>
        </w:rPr>
        <w:t xml:space="preserve"> Cir. 1907)</w:t>
      </w:r>
      <w:r w:rsidRPr="00F33763">
        <w:rPr>
          <w:rFonts w:ascii="Times New Roman" w:hAnsi="Times New Roman" w:cs="Times New Roman"/>
          <w:sz w:val="20"/>
          <w:szCs w:val="20"/>
        </w:rPr>
        <w:t xml:space="preserve">; </w:t>
      </w:r>
      <w:proofErr w:type="spellStart"/>
      <w:r w:rsidRPr="00A271C9">
        <w:rPr>
          <w:rFonts w:ascii="Times New Roman" w:hAnsi="Times New Roman" w:cs="Times New Roman"/>
          <w:i/>
          <w:sz w:val="20"/>
          <w:szCs w:val="20"/>
        </w:rPr>
        <w:t>McGarr</w:t>
      </w:r>
      <w:proofErr w:type="spellEnd"/>
      <w:r w:rsidRPr="00A271C9">
        <w:rPr>
          <w:rFonts w:ascii="Times New Roman" w:hAnsi="Times New Roman" w:cs="Times New Roman"/>
          <w:i/>
          <w:sz w:val="20"/>
          <w:szCs w:val="20"/>
        </w:rPr>
        <w:t xml:space="preserve"> v</w:t>
      </w:r>
      <w:r w:rsidR="00A271C9">
        <w:rPr>
          <w:rFonts w:ascii="Times New Roman" w:hAnsi="Times New Roman" w:cs="Times New Roman"/>
          <w:i/>
          <w:sz w:val="20"/>
          <w:szCs w:val="20"/>
        </w:rPr>
        <w:t>.</w:t>
      </w:r>
      <w:r w:rsidRPr="00A271C9">
        <w:rPr>
          <w:rFonts w:ascii="Times New Roman" w:hAnsi="Times New Roman" w:cs="Times New Roman"/>
          <w:i/>
          <w:sz w:val="20"/>
          <w:szCs w:val="20"/>
        </w:rPr>
        <w:t xml:space="preserve"> </w:t>
      </w:r>
      <w:r w:rsidR="00A271C9">
        <w:rPr>
          <w:rFonts w:ascii="Times New Roman" w:hAnsi="Times New Roman" w:cs="Times New Roman"/>
          <w:i/>
          <w:sz w:val="20"/>
          <w:szCs w:val="20"/>
        </w:rPr>
        <w:t xml:space="preserve">Nat’l. </w:t>
      </w:r>
      <w:r w:rsidRPr="00A271C9">
        <w:rPr>
          <w:rFonts w:ascii="Times New Roman" w:hAnsi="Times New Roman" w:cs="Times New Roman"/>
          <w:i/>
          <w:sz w:val="20"/>
          <w:szCs w:val="20"/>
        </w:rPr>
        <w:t>&amp; Providence Worsted Mills</w:t>
      </w:r>
      <w:r w:rsidR="00A271C9">
        <w:rPr>
          <w:rFonts w:ascii="Times New Roman" w:hAnsi="Times New Roman" w:cs="Times New Roman"/>
          <w:sz w:val="20"/>
          <w:szCs w:val="20"/>
        </w:rPr>
        <w:t xml:space="preserve">, 24 R.I. 447; 53 A. 320 (1902); </w:t>
      </w:r>
      <w:r w:rsidRPr="00A271C9">
        <w:rPr>
          <w:rFonts w:ascii="Times New Roman" w:hAnsi="Times New Roman" w:cs="Times New Roman"/>
          <w:i/>
          <w:sz w:val="20"/>
          <w:szCs w:val="20"/>
        </w:rPr>
        <w:t>Worthy v</w:t>
      </w:r>
      <w:r w:rsidR="00A271C9">
        <w:rPr>
          <w:rFonts w:ascii="Times New Roman" w:hAnsi="Times New Roman" w:cs="Times New Roman"/>
          <w:i/>
          <w:sz w:val="20"/>
          <w:szCs w:val="20"/>
        </w:rPr>
        <w:t>.</w:t>
      </w:r>
      <w:r w:rsidRPr="00A271C9">
        <w:rPr>
          <w:rFonts w:ascii="Times New Roman" w:hAnsi="Times New Roman" w:cs="Times New Roman"/>
          <w:i/>
          <w:sz w:val="20"/>
          <w:szCs w:val="20"/>
        </w:rPr>
        <w:t xml:space="preserve"> Jonesville Oil Mill,</w:t>
      </w:r>
      <w:r w:rsidR="00A271C9">
        <w:rPr>
          <w:rFonts w:ascii="Times New Roman" w:hAnsi="Times New Roman" w:cs="Times New Roman"/>
          <w:sz w:val="20"/>
          <w:szCs w:val="20"/>
        </w:rPr>
        <w:t xml:space="preserve"> 77 S.C. 69; 57 S.E.</w:t>
      </w:r>
      <w:r w:rsidRPr="00F33763">
        <w:rPr>
          <w:rFonts w:ascii="Times New Roman" w:hAnsi="Times New Roman" w:cs="Times New Roman"/>
          <w:sz w:val="20"/>
          <w:szCs w:val="20"/>
        </w:rPr>
        <w:t xml:space="preserve"> 634</w:t>
      </w:r>
      <w:r w:rsidR="00A271C9">
        <w:rPr>
          <w:rFonts w:ascii="Times New Roman" w:hAnsi="Times New Roman" w:cs="Times New Roman"/>
          <w:sz w:val="20"/>
          <w:szCs w:val="20"/>
        </w:rPr>
        <w:t xml:space="preserve"> (1907)</w:t>
      </w:r>
      <w:r w:rsidRPr="00F33763">
        <w:rPr>
          <w:rFonts w:ascii="Times New Roman" w:hAnsi="Times New Roman" w:cs="Times New Roman"/>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upp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3"/>
    <w:lvl w:ilvl="0">
      <w:start w:val="1"/>
      <w:numFmt w:val="upperLetter"/>
      <w:lvlText w:val="%1."/>
      <w:lvlJc w:val="left"/>
    </w:lvl>
    <w:lvl w:ilvl="1">
      <w:start w:val="1"/>
      <w:numFmt w:val="lowerLetter"/>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4"/>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1E641AE9"/>
    <w:multiLevelType w:val="hybridMultilevel"/>
    <w:tmpl w:val="E1B21E1E"/>
    <w:lvl w:ilvl="0" w:tplc="A77A66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EC57C0"/>
    <w:multiLevelType w:val="hybridMultilevel"/>
    <w:tmpl w:val="A6466C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91C25"/>
    <w:multiLevelType w:val="hybridMultilevel"/>
    <w:tmpl w:val="827EB59C"/>
    <w:lvl w:ilvl="0" w:tplc="CDF25E48">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69750255"/>
    <w:multiLevelType w:val="hybridMultilevel"/>
    <w:tmpl w:val="8BA4B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CF499A"/>
    <w:multiLevelType w:val="hybridMultilevel"/>
    <w:tmpl w:val="BC0E1960"/>
    <w:lvl w:ilvl="0" w:tplc="2E1C4E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6"/>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02"/>
    <w:rsid w:val="00005B3C"/>
    <w:rsid w:val="00031861"/>
    <w:rsid w:val="000562D7"/>
    <w:rsid w:val="0008306A"/>
    <w:rsid w:val="00104E3B"/>
    <w:rsid w:val="00107E4E"/>
    <w:rsid w:val="00115C51"/>
    <w:rsid w:val="001253FC"/>
    <w:rsid w:val="00134843"/>
    <w:rsid w:val="0013669A"/>
    <w:rsid w:val="00140102"/>
    <w:rsid w:val="00153A90"/>
    <w:rsid w:val="00194340"/>
    <w:rsid w:val="001A088C"/>
    <w:rsid w:val="001C048F"/>
    <w:rsid w:val="001C6202"/>
    <w:rsid w:val="001D343A"/>
    <w:rsid w:val="00232A10"/>
    <w:rsid w:val="00266714"/>
    <w:rsid w:val="0027306F"/>
    <w:rsid w:val="002868E7"/>
    <w:rsid w:val="00294955"/>
    <w:rsid w:val="00304175"/>
    <w:rsid w:val="00304638"/>
    <w:rsid w:val="00321475"/>
    <w:rsid w:val="003934ED"/>
    <w:rsid w:val="00397CDC"/>
    <w:rsid w:val="003D5B37"/>
    <w:rsid w:val="00406F36"/>
    <w:rsid w:val="00410A03"/>
    <w:rsid w:val="00446B31"/>
    <w:rsid w:val="00461AE6"/>
    <w:rsid w:val="00470275"/>
    <w:rsid w:val="00476D8C"/>
    <w:rsid w:val="0048673B"/>
    <w:rsid w:val="004D01CA"/>
    <w:rsid w:val="004F5020"/>
    <w:rsid w:val="005146CF"/>
    <w:rsid w:val="00534155"/>
    <w:rsid w:val="005361AD"/>
    <w:rsid w:val="00592ECB"/>
    <w:rsid w:val="005A6717"/>
    <w:rsid w:val="005B5184"/>
    <w:rsid w:val="005F5A79"/>
    <w:rsid w:val="00620FB3"/>
    <w:rsid w:val="00643FAC"/>
    <w:rsid w:val="00677840"/>
    <w:rsid w:val="006B3FCE"/>
    <w:rsid w:val="006C5CD5"/>
    <w:rsid w:val="00706A4C"/>
    <w:rsid w:val="00743928"/>
    <w:rsid w:val="007800B3"/>
    <w:rsid w:val="00787FAC"/>
    <w:rsid w:val="007A09AF"/>
    <w:rsid w:val="007A4038"/>
    <w:rsid w:val="00853A44"/>
    <w:rsid w:val="00861E92"/>
    <w:rsid w:val="008B3565"/>
    <w:rsid w:val="008D1412"/>
    <w:rsid w:val="008E0D5C"/>
    <w:rsid w:val="008F1A12"/>
    <w:rsid w:val="008F3103"/>
    <w:rsid w:val="00905422"/>
    <w:rsid w:val="00907321"/>
    <w:rsid w:val="009148B4"/>
    <w:rsid w:val="00925BED"/>
    <w:rsid w:val="009263B5"/>
    <w:rsid w:val="0094553B"/>
    <w:rsid w:val="009619E2"/>
    <w:rsid w:val="00993BA7"/>
    <w:rsid w:val="009966B2"/>
    <w:rsid w:val="009C0C7C"/>
    <w:rsid w:val="009E7088"/>
    <w:rsid w:val="009F2682"/>
    <w:rsid w:val="009F41E6"/>
    <w:rsid w:val="009F623D"/>
    <w:rsid w:val="00A00781"/>
    <w:rsid w:val="00A11D50"/>
    <w:rsid w:val="00A271C9"/>
    <w:rsid w:val="00A41288"/>
    <w:rsid w:val="00A87D33"/>
    <w:rsid w:val="00A911BF"/>
    <w:rsid w:val="00AB6325"/>
    <w:rsid w:val="00AB76C9"/>
    <w:rsid w:val="00AC2A67"/>
    <w:rsid w:val="00B3700E"/>
    <w:rsid w:val="00B96E70"/>
    <w:rsid w:val="00B97662"/>
    <w:rsid w:val="00BA4975"/>
    <w:rsid w:val="00BA6A71"/>
    <w:rsid w:val="00BC0ED2"/>
    <w:rsid w:val="00BC40A7"/>
    <w:rsid w:val="00C0204F"/>
    <w:rsid w:val="00C0212F"/>
    <w:rsid w:val="00C32780"/>
    <w:rsid w:val="00C3411F"/>
    <w:rsid w:val="00C5218E"/>
    <w:rsid w:val="00C621AA"/>
    <w:rsid w:val="00C852DB"/>
    <w:rsid w:val="00C87E49"/>
    <w:rsid w:val="00CB1D92"/>
    <w:rsid w:val="00CB398A"/>
    <w:rsid w:val="00CB4727"/>
    <w:rsid w:val="00CC6C0C"/>
    <w:rsid w:val="00D123E2"/>
    <w:rsid w:val="00D1596E"/>
    <w:rsid w:val="00D425DF"/>
    <w:rsid w:val="00D622D7"/>
    <w:rsid w:val="00D64440"/>
    <w:rsid w:val="00DB79C3"/>
    <w:rsid w:val="00DF2551"/>
    <w:rsid w:val="00DF4D04"/>
    <w:rsid w:val="00E14BC2"/>
    <w:rsid w:val="00E22C0B"/>
    <w:rsid w:val="00E277F7"/>
    <w:rsid w:val="00E33308"/>
    <w:rsid w:val="00E51FD0"/>
    <w:rsid w:val="00E74C12"/>
    <w:rsid w:val="00ED7BBE"/>
    <w:rsid w:val="00EE0FF3"/>
    <w:rsid w:val="00F11B0F"/>
    <w:rsid w:val="00F33763"/>
    <w:rsid w:val="00F45DA1"/>
    <w:rsid w:val="00FB46D9"/>
    <w:rsid w:val="00FC122A"/>
    <w:rsid w:val="00FC1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rFonts w:ascii="Courier" w:hAnsi="Courier" w:cs="Courier"/>
      <w:sz w:val="20"/>
      <w:szCs w:val="20"/>
      <w:vertAlign w:val="superscript"/>
    </w:rPr>
  </w:style>
  <w:style w:type="character" w:customStyle="1" w:styleId="FootnoteTex">
    <w:name w:val="Footnote Tex"/>
    <w:uiPriority w:val="99"/>
  </w:style>
  <w:style w:type="character" w:customStyle="1" w:styleId="Hyperlink6">
    <w:name w:val="Hyperlink6"/>
    <w:uiPriority w:val="99"/>
    <w:rPr>
      <w:rFonts w:ascii="Courier" w:hAnsi="Courier" w:cs="Courier"/>
      <w:sz w:val="20"/>
      <w:szCs w:val="20"/>
      <w:u w:val="single"/>
    </w:rPr>
  </w:style>
  <w:style w:type="character" w:customStyle="1" w:styleId="pmterms21">
    <w:name w:val="pmterms21"/>
    <w:uiPriority w:val="99"/>
    <w:rPr>
      <w:rFonts w:ascii="Verdana" w:hAnsi="Verdana" w:cs="Verdana"/>
      <w:b/>
      <w:bCs/>
      <w:sz w:val="20"/>
      <w:szCs w:val="20"/>
    </w:rPr>
  </w:style>
  <w:style w:type="character" w:customStyle="1" w:styleId="term1">
    <w:name w:val="term1"/>
    <w:uiPriority w:val="99"/>
    <w:rPr>
      <w:rFonts w:ascii="Sakkal Majalla" w:hAnsi="Sakkal Majalla" w:cs="Sakkal Majalla"/>
      <w:b/>
      <w:bCs/>
      <w:sz w:val="20"/>
      <w:szCs w:val="20"/>
    </w:rPr>
  </w:style>
  <w:style w:type="paragraph" w:styleId="Header">
    <w:name w:val="header"/>
    <w:basedOn w:val="Normal"/>
    <w:link w:val="HeaderChar"/>
    <w:uiPriority w:val="99"/>
    <w:unhideWhenUsed/>
    <w:rsid w:val="005146CF"/>
    <w:pPr>
      <w:tabs>
        <w:tab w:val="center" w:pos="4680"/>
        <w:tab w:val="right" w:pos="9360"/>
      </w:tabs>
    </w:pPr>
  </w:style>
  <w:style w:type="character" w:customStyle="1" w:styleId="HeaderChar">
    <w:name w:val="Header Char"/>
    <w:basedOn w:val="DefaultParagraphFont"/>
    <w:link w:val="Header"/>
    <w:uiPriority w:val="99"/>
    <w:rsid w:val="005146CF"/>
    <w:rPr>
      <w:rFonts w:ascii="Courier" w:hAnsi="Courier"/>
      <w:sz w:val="24"/>
      <w:szCs w:val="24"/>
    </w:rPr>
  </w:style>
  <w:style w:type="paragraph" w:styleId="Footer">
    <w:name w:val="footer"/>
    <w:basedOn w:val="Normal"/>
    <w:link w:val="FooterChar"/>
    <w:uiPriority w:val="99"/>
    <w:unhideWhenUsed/>
    <w:rsid w:val="005146CF"/>
    <w:pPr>
      <w:tabs>
        <w:tab w:val="center" w:pos="4680"/>
        <w:tab w:val="right" w:pos="9360"/>
      </w:tabs>
    </w:pPr>
  </w:style>
  <w:style w:type="character" w:customStyle="1" w:styleId="FooterChar">
    <w:name w:val="Footer Char"/>
    <w:basedOn w:val="DefaultParagraphFont"/>
    <w:link w:val="Footer"/>
    <w:uiPriority w:val="99"/>
    <w:rsid w:val="005146CF"/>
    <w:rPr>
      <w:rFonts w:ascii="Courier" w:hAnsi="Courier"/>
      <w:sz w:val="24"/>
      <w:szCs w:val="24"/>
    </w:rPr>
  </w:style>
  <w:style w:type="paragraph" w:styleId="FootnoteText">
    <w:name w:val="footnote text"/>
    <w:basedOn w:val="Normal"/>
    <w:link w:val="FootnoteTextChar"/>
    <w:uiPriority w:val="99"/>
    <w:semiHidden/>
    <w:unhideWhenUsed/>
    <w:rsid w:val="00E74C12"/>
    <w:pPr>
      <w:widowControl/>
      <w:autoSpaceDE/>
      <w:autoSpaceDN/>
      <w:adjustRightInd/>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E74C12"/>
    <w:rPr>
      <w:rFonts w:eastAsiaTheme="minorHAnsi"/>
      <w:sz w:val="20"/>
      <w:szCs w:val="20"/>
    </w:rPr>
  </w:style>
  <w:style w:type="paragraph" w:styleId="ListParagraph">
    <w:name w:val="List Paragraph"/>
    <w:basedOn w:val="Normal"/>
    <w:uiPriority w:val="34"/>
    <w:qFormat/>
    <w:rsid w:val="00E74C12"/>
    <w:pPr>
      <w:widowControl/>
      <w:autoSpaceDE/>
      <w:autoSpaceDN/>
      <w:adjustRightInd/>
      <w:spacing w:after="200" w:line="276" w:lineRule="auto"/>
      <w:ind w:left="720"/>
      <w:contextualSpacing/>
    </w:pPr>
    <w:rPr>
      <w:rFonts w:asciiTheme="minorHAnsi" w:eastAsiaTheme="minorHAnsi" w:hAnsiTheme="minorHAnsi"/>
      <w:sz w:val="22"/>
      <w:szCs w:val="22"/>
    </w:rPr>
  </w:style>
  <w:style w:type="character" w:customStyle="1" w:styleId="apple-style-span">
    <w:name w:val="apple-style-span"/>
    <w:basedOn w:val="DefaultParagraphFont"/>
    <w:rsid w:val="00E74C12"/>
  </w:style>
  <w:style w:type="character" w:customStyle="1" w:styleId="apple-converted-space">
    <w:name w:val="apple-converted-space"/>
    <w:basedOn w:val="DefaultParagraphFont"/>
    <w:rsid w:val="00E74C12"/>
  </w:style>
  <w:style w:type="character" w:styleId="Hyperlink">
    <w:name w:val="Hyperlink"/>
    <w:basedOn w:val="DefaultParagraphFont"/>
    <w:uiPriority w:val="99"/>
    <w:semiHidden/>
    <w:unhideWhenUsed/>
    <w:rsid w:val="00E74C12"/>
    <w:rPr>
      <w:color w:val="0000FF"/>
      <w:u w:val="single"/>
    </w:rPr>
  </w:style>
  <w:style w:type="character" w:customStyle="1" w:styleId="term">
    <w:name w:val="term"/>
    <w:basedOn w:val="DefaultParagraphFont"/>
    <w:rsid w:val="00E74C12"/>
  </w:style>
  <w:style w:type="character" w:customStyle="1" w:styleId="pmterms3">
    <w:name w:val="pmterms3"/>
    <w:basedOn w:val="DefaultParagraphFont"/>
    <w:rsid w:val="00E74C12"/>
  </w:style>
  <w:style w:type="character" w:customStyle="1" w:styleId="pmterms2">
    <w:name w:val="pmterms2"/>
    <w:basedOn w:val="DefaultParagraphFont"/>
    <w:rsid w:val="00E74C12"/>
  </w:style>
  <w:style w:type="paragraph" w:styleId="BalloonText">
    <w:name w:val="Balloon Text"/>
    <w:basedOn w:val="Normal"/>
    <w:link w:val="BalloonTextChar"/>
    <w:uiPriority w:val="99"/>
    <w:semiHidden/>
    <w:unhideWhenUsed/>
    <w:rsid w:val="00E74C12"/>
    <w:rPr>
      <w:rFonts w:ascii="Tahoma" w:hAnsi="Tahoma" w:cs="Tahoma"/>
      <w:sz w:val="16"/>
      <w:szCs w:val="16"/>
    </w:rPr>
  </w:style>
  <w:style w:type="character" w:customStyle="1" w:styleId="BalloonTextChar">
    <w:name w:val="Balloon Text Char"/>
    <w:basedOn w:val="DefaultParagraphFont"/>
    <w:link w:val="BalloonText"/>
    <w:uiPriority w:val="99"/>
    <w:semiHidden/>
    <w:rsid w:val="00E74C12"/>
    <w:rPr>
      <w:rFonts w:ascii="Tahoma" w:hAnsi="Tahoma" w:cs="Tahoma"/>
      <w:sz w:val="16"/>
      <w:szCs w:val="16"/>
    </w:rPr>
  </w:style>
  <w:style w:type="character" w:styleId="CommentReference">
    <w:name w:val="annotation reference"/>
    <w:basedOn w:val="DefaultParagraphFont"/>
    <w:uiPriority w:val="99"/>
    <w:semiHidden/>
    <w:unhideWhenUsed/>
    <w:rsid w:val="00534155"/>
    <w:rPr>
      <w:sz w:val="16"/>
      <w:szCs w:val="16"/>
    </w:rPr>
  </w:style>
  <w:style w:type="paragraph" w:styleId="CommentText">
    <w:name w:val="annotation text"/>
    <w:basedOn w:val="Normal"/>
    <w:link w:val="CommentTextChar"/>
    <w:uiPriority w:val="99"/>
    <w:semiHidden/>
    <w:unhideWhenUsed/>
    <w:rsid w:val="00534155"/>
    <w:rPr>
      <w:sz w:val="20"/>
      <w:szCs w:val="20"/>
    </w:rPr>
  </w:style>
  <w:style w:type="character" w:customStyle="1" w:styleId="CommentTextChar">
    <w:name w:val="Comment Text Char"/>
    <w:basedOn w:val="DefaultParagraphFont"/>
    <w:link w:val="CommentText"/>
    <w:uiPriority w:val="99"/>
    <w:semiHidden/>
    <w:rsid w:val="0053415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534155"/>
    <w:rPr>
      <w:b/>
      <w:bCs/>
    </w:rPr>
  </w:style>
  <w:style w:type="character" w:customStyle="1" w:styleId="CommentSubjectChar">
    <w:name w:val="Comment Subject Char"/>
    <w:basedOn w:val="CommentTextChar"/>
    <w:link w:val="CommentSubject"/>
    <w:uiPriority w:val="99"/>
    <w:semiHidden/>
    <w:rsid w:val="00534155"/>
    <w:rPr>
      <w:rFonts w:ascii="Courier" w:hAnsi="Courier"/>
      <w:b/>
      <w:bCs/>
      <w:sz w:val="20"/>
      <w:szCs w:val="20"/>
    </w:rPr>
  </w:style>
  <w:style w:type="character" w:customStyle="1" w:styleId="pmterms1">
    <w:name w:val="pmterms1"/>
    <w:basedOn w:val="DefaultParagraphFont"/>
    <w:rsid w:val="00031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FootnoteRef">
    <w:name w:val="Footnote Ref"/>
    <w:uiPriority w:val="99"/>
    <w:rPr>
      <w:rFonts w:ascii="Courier" w:hAnsi="Courier" w:cs="Courier"/>
      <w:sz w:val="20"/>
      <w:szCs w:val="20"/>
      <w:vertAlign w:val="superscript"/>
    </w:rPr>
  </w:style>
  <w:style w:type="character" w:customStyle="1" w:styleId="FootnoteTex">
    <w:name w:val="Footnote Tex"/>
    <w:uiPriority w:val="99"/>
  </w:style>
  <w:style w:type="character" w:customStyle="1" w:styleId="Hyperlink6">
    <w:name w:val="Hyperlink6"/>
    <w:uiPriority w:val="99"/>
    <w:rPr>
      <w:rFonts w:ascii="Courier" w:hAnsi="Courier" w:cs="Courier"/>
      <w:sz w:val="20"/>
      <w:szCs w:val="20"/>
      <w:u w:val="single"/>
    </w:rPr>
  </w:style>
  <w:style w:type="character" w:customStyle="1" w:styleId="pmterms21">
    <w:name w:val="pmterms21"/>
    <w:uiPriority w:val="99"/>
    <w:rPr>
      <w:rFonts w:ascii="Verdana" w:hAnsi="Verdana" w:cs="Verdana"/>
      <w:b/>
      <w:bCs/>
      <w:sz w:val="20"/>
      <w:szCs w:val="20"/>
    </w:rPr>
  </w:style>
  <w:style w:type="character" w:customStyle="1" w:styleId="term1">
    <w:name w:val="term1"/>
    <w:uiPriority w:val="99"/>
    <w:rPr>
      <w:rFonts w:ascii="Sakkal Majalla" w:hAnsi="Sakkal Majalla" w:cs="Sakkal Majalla"/>
      <w:b/>
      <w:bCs/>
      <w:sz w:val="20"/>
      <w:szCs w:val="20"/>
    </w:rPr>
  </w:style>
  <w:style w:type="paragraph" w:styleId="Header">
    <w:name w:val="header"/>
    <w:basedOn w:val="Normal"/>
    <w:link w:val="HeaderChar"/>
    <w:uiPriority w:val="99"/>
    <w:unhideWhenUsed/>
    <w:rsid w:val="005146CF"/>
    <w:pPr>
      <w:tabs>
        <w:tab w:val="center" w:pos="4680"/>
        <w:tab w:val="right" w:pos="9360"/>
      </w:tabs>
    </w:pPr>
  </w:style>
  <w:style w:type="character" w:customStyle="1" w:styleId="HeaderChar">
    <w:name w:val="Header Char"/>
    <w:basedOn w:val="DefaultParagraphFont"/>
    <w:link w:val="Header"/>
    <w:uiPriority w:val="99"/>
    <w:rsid w:val="005146CF"/>
    <w:rPr>
      <w:rFonts w:ascii="Courier" w:hAnsi="Courier"/>
      <w:sz w:val="24"/>
      <w:szCs w:val="24"/>
    </w:rPr>
  </w:style>
  <w:style w:type="paragraph" w:styleId="Footer">
    <w:name w:val="footer"/>
    <w:basedOn w:val="Normal"/>
    <w:link w:val="FooterChar"/>
    <w:uiPriority w:val="99"/>
    <w:unhideWhenUsed/>
    <w:rsid w:val="005146CF"/>
    <w:pPr>
      <w:tabs>
        <w:tab w:val="center" w:pos="4680"/>
        <w:tab w:val="right" w:pos="9360"/>
      </w:tabs>
    </w:pPr>
  </w:style>
  <w:style w:type="character" w:customStyle="1" w:styleId="FooterChar">
    <w:name w:val="Footer Char"/>
    <w:basedOn w:val="DefaultParagraphFont"/>
    <w:link w:val="Footer"/>
    <w:uiPriority w:val="99"/>
    <w:rsid w:val="005146CF"/>
    <w:rPr>
      <w:rFonts w:ascii="Courier" w:hAnsi="Courier"/>
      <w:sz w:val="24"/>
      <w:szCs w:val="24"/>
    </w:rPr>
  </w:style>
  <w:style w:type="paragraph" w:styleId="FootnoteText">
    <w:name w:val="footnote text"/>
    <w:basedOn w:val="Normal"/>
    <w:link w:val="FootnoteTextChar"/>
    <w:uiPriority w:val="99"/>
    <w:semiHidden/>
    <w:unhideWhenUsed/>
    <w:rsid w:val="00E74C12"/>
    <w:pPr>
      <w:widowControl/>
      <w:autoSpaceDE/>
      <w:autoSpaceDN/>
      <w:adjustRightInd/>
    </w:pPr>
    <w:rPr>
      <w:rFonts w:asciiTheme="minorHAnsi" w:eastAsiaTheme="minorHAnsi" w:hAnsiTheme="minorHAnsi"/>
      <w:sz w:val="20"/>
      <w:szCs w:val="20"/>
    </w:rPr>
  </w:style>
  <w:style w:type="character" w:customStyle="1" w:styleId="FootnoteTextChar">
    <w:name w:val="Footnote Text Char"/>
    <w:basedOn w:val="DefaultParagraphFont"/>
    <w:link w:val="FootnoteText"/>
    <w:uiPriority w:val="99"/>
    <w:semiHidden/>
    <w:rsid w:val="00E74C12"/>
    <w:rPr>
      <w:rFonts w:eastAsiaTheme="minorHAnsi"/>
      <w:sz w:val="20"/>
      <w:szCs w:val="20"/>
    </w:rPr>
  </w:style>
  <w:style w:type="paragraph" w:styleId="ListParagraph">
    <w:name w:val="List Paragraph"/>
    <w:basedOn w:val="Normal"/>
    <w:uiPriority w:val="34"/>
    <w:qFormat/>
    <w:rsid w:val="00E74C12"/>
    <w:pPr>
      <w:widowControl/>
      <w:autoSpaceDE/>
      <w:autoSpaceDN/>
      <w:adjustRightInd/>
      <w:spacing w:after="200" w:line="276" w:lineRule="auto"/>
      <w:ind w:left="720"/>
      <w:contextualSpacing/>
    </w:pPr>
    <w:rPr>
      <w:rFonts w:asciiTheme="minorHAnsi" w:eastAsiaTheme="minorHAnsi" w:hAnsiTheme="minorHAnsi"/>
      <w:sz w:val="22"/>
      <w:szCs w:val="22"/>
    </w:rPr>
  </w:style>
  <w:style w:type="character" w:customStyle="1" w:styleId="apple-style-span">
    <w:name w:val="apple-style-span"/>
    <w:basedOn w:val="DefaultParagraphFont"/>
    <w:rsid w:val="00E74C12"/>
  </w:style>
  <w:style w:type="character" w:customStyle="1" w:styleId="apple-converted-space">
    <w:name w:val="apple-converted-space"/>
    <w:basedOn w:val="DefaultParagraphFont"/>
    <w:rsid w:val="00E74C12"/>
  </w:style>
  <w:style w:type="character" w:styleId="Hyperlink">
    <w:name w:val="Hyperlink"/>
    <w:basedOn w:val="DefaultParagraphFont"/>
    <w:uiPriority w:val="99"/>
    <w:semiHidden/>
    <w:unhideWhenUsed/>
    <w:rsid w:val="00E74C12"/>
    <w:rPr>
      <w:color w:val="0000FF"/>
      <w:u w:val="single"/>
    </w:rPr>
  </w:style>
  <w:style w:type="character" w:customStyle="1" w:styleId="term">
    <w:name w:val="term"/>
    <w:basedOn w:val="DefaultParagraphFont"/>
    <w:rsid w:val="00E74C12"/>
  </w:style>
  <w:style w:type="character" w:customStyle="1" w:styleId="pmterms3">
    <w:name w:val="pmterms3"/>
    <w:basedOn w:val="DefaultParagraphFont"/>
    <w:rsid w:val="00E74C12"/>
  </w:style>
  <w:style w:type="character" w:customStyle="1" w:styleId="pmterms2">
    <w:name w:val="pmterms2"/>
    <w:basedOn w:val="DefaultParagraphFont"/>
    <w:rsid w:val="00E74C12"/>
  </w:style>
  <w:style w:type="paragraph" w:styleId="BalloonText">
    <w:name w:val="Balloon Text"/>
    <w:basedOn w:val="Normal"/>
    <w:link w:val="BalloonTextChar"/>
    <w:uiPriority w:val="99"/>
    <w:semiHidden/>
    <w:unhideWhenUsed/>
    <w:rsid w:val="00E74C12"/>
    <w:rPr>
      <w:rFonts w:ascii="Tahoma" w:hAnsi="Tahoma" w:cs="Tahoma"/>
      <w:sz w:val="16"/>
      <w:szCs w:val="16"/>
    </w:rPr>
  </w:style>
  <w:style w:type="character" w:customStyle="1" w:styleId="BalloonTextChar">
    <w:name w:val="Balloon Text Char"/>
    <w:basedOn w:val="DefaultParagraphFont"/>
    <w:link w:val="BalloonText"/>
    <w:uiPriority w:val="99"/>
    <w:semiHidden/>
    <w:rsid w:val="00E74C12"/>
    <w:rPr>
      <w:rFonts w:ascii="Tahoma" w:hAnsi="Tahoma" w:cs="Tahoma"/>
      <w:sz w:val="16"/>
      <w:szCs w:val="16"/>
    </w:rPr>
  </w:style>
  <w:style w:type="character" w:styleId="CommentReference">
    <w:name w:val="annotation reference"/>
    <w:basedOn w:val="DefaultParagraphFont"/>
    <w:uiPriority w:val="99"/>
    <w:semiHidden/>
    <w:unhideWhenUsed/>
    <w:rsid w:val="00534155"/>
    <w:rPr>
      <w:sz w:val="16"/>
      <w:szCs w:val="16"/>
    </w:rPr>
  </w:style>
  <w:style w:type="paragraph" w:styleId="CommentText">
    <w:name w:val="annotation text"/>
    <w:basedOn w:val="Normal"/>
    <w:link w:val="CommentTextChar"/>
    <w:uiPriority w:val="99"/>
    <w:semiHidden/>
    <w:unhideWhenUsed/>
    <w:rsid w:val="00534155"/>
    <w:rPr>
      <w:sz w:val="20"/>
      <w:szCs w:val="20"/>
    </w:rPr>
  </w:style>
  <w:style w:type="character" w:customStyle="1" w:styleId="CommentTextChar">
    <w:name w:val="Comment Text Char"/>
    <w:basedOn w:val="DefaultParagraphFont"/>
    <w:link w:val="CommentText"/>
    <w:uiPriority w:val="99"/>
    <w:semiHidden/>
    <w:rsid w:val="00534155"/>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534155"/>
    <w:rPr>
      <w:b/>
      <w:bCs/>
    </w:rPr>
  </w:style>
  <w:style w:type="character" w:customStyle="1" w:styleId="CommentSubjectChar">
    <w:name w:val="Comment Subject Char"/>
    <w:basedOn w:val="CommentTextChar"/>
    <w:link w:val="CommentSubject"/>
    <w:uiPriority w:val="99"/>
    <w:semiHidden/>
    <w:rsid w:val="00534155"/>
    <w:rPr>
      <w:rFonts w:ascii="Courier" w:hAnsi="Courier"/>
      <w:b/>
      <w:bCs/>
      <w:sz w:val="20"/>
      <w:szCs w:val="20"/>
    </w:rPr>
  </w:style>
  <w:style w:type="character" w:customStyle="1" w:styleId="pmterms1">
    <w:name w:val="pmterms1"/>
    <w:basedOn w:val="DefaultParagraphFont"/>
    <w:rsid w:val="00031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91968">
      <w:bodyDiv w:val="1"/>
      <w:marLeft w:val="0"/>
      <w:marRight w:val="0"/>
      <w:marTop w:val="0"/>
      <w:marBottom w:val="0"/>
      <w:divBdr>
        <w:top w:val="none" w:sz="0" w:space="0" w:color="auto"/>
        <w:left w:val="none" w:sz="0" w:space="0" w:color="auto"/>
        <w:bottom w:val="none" w:sz="0" w:space="0" w:color="auto"/>
        <w:right w:val="none" w:sz="0" w:space="0" w:color="auto"/>
      </w:divBdr>
    </w:div>
    <w:div w:id="977615105">
      <w:bodyDiv w:val="1"/>
      <w:marLeft w:val="0"/>
      <w:marRight w:val="0"/>
      <w:marTop w:val="0"/>
      <w:marBottom w:val="0"/>
      <w:divBdr>
        <w:top w:val="none" w:sz="0" w:space="0" w:color="auto"/>
        <w:left w:val="none" w:sz="0" w:space="0" w:color="auto"/>
        <w:bottom w:val="none" w:sz="0" w:space="0" w:color="auto"/>
        <w:right w:val="none" w:sz="0" w:space="0" w:color="auto"/>
      </w:divBdr>
    </w:div>
    <w:div w:id="157890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44E4-665B-4135-93D1-F2C18B1D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51</Pages>
  <Words>14340</Words>
  <Characters>81739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87</cp:revision>
  <dcterms:created xsi:type="dcterms:W3CDTF">2011-11-23T21:28:00Z</dcterms:created>
  <dcterms:modified xsi:type="dcterms:W3CDTF">2011-11-27T23:36:00Z</dcterms:modified>
</cp:coreProperties>
</file>